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left"/>
      </w:pPr>
      <w:r>
        <w:rPr>
          <w:rStyle w:val="4"/>
          <w:rFonts w:ascii="黑体" w:hAnsi="宋体" w:eastAsia="黑体" w:cs="Times New Roman"/>
          <w:sz w:val="32"/>
          <w:szCs w:val="32"/>
        </w:rPr>
        <w:t>一、学院概况</w:t>
      </w:r>
    </w:p>
    <w:p>
      <w:pPr>
        <w:keepNext w:val="0"/>
        <w:keepLines w:val="0"/>
        <w:widowControl/>
        <w:suppressLineNumbers w:val="0"/>
        <w:shd w:val="clear" w:fill="FFFFFF"/>
        <w:adjustRightInd/>
        <w:spacing w:before="0" w:beforeAutospacing="1" w:after="0" w:afterAutospacing="0"/>
        <w:ind w:left="0" w:right="0" w:firstLine="640" w:firstLineChars="200"/>
        <w:jc w:val="both"/>
        <w:rPr>
          <w:rFonts w:hint="eastAsia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公共卫生学院前身可追溯至1953年成立的卫生学教研组。2004年7月公共卫生学系成立。2012年6月更名为公共卫生学院。学院下设劳动卫生与环境卫生学、流行病与卫生统计学、营养与食品卫生学、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儿童少年</w:t>
      </w:r>
      <w:r>
        <w:rPr>
          <w:rFonts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卫生与妇幼保健学、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卫生</w:t>
      </w:r>
      <w:r>
        <w:rPr>
          <w:rFonts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毒理学、卫生检验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与检疫学以及</w:t>
      </w:r>
      <w:r>
        <w:rPr>
          <w:rFonts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全科医学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7个</w:t>
      </w:r>
      <w:r>
        <w:rPr>
          <w:rFonts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教研室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以及综合实验室</w:t>
      </w:r>
      <w:r>
        <w:rPr>
          <w:rFonts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河南省环境污染与健康国际人才合作基地、</w:t>
      </w:r>
      <w:r>
        <w:rPr>
          <w:rFonts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省全科医学教育研究中心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以及校肺病与分子治疗研究所也挂靠在公共卫生学院</w:t>
      </w:r>
      <w:r>
        <w:rPr>
          <w:rFonts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学院现有教职工69人，其中教授6人，副教授10人。具有硕士学位以上教师66人，其中博士40人；国务院政府特殊津贴专家1人、校太行学者5人、校特聘教授5人、兼职教授3人，外籍专家6人。</w:t>
      </w:r>
    </w:p>
    <w:p>
      <w:pPr>
        <w:keepNext w:val="0"/>
        <w:keepLines w:val="0"/>
        <w:widowControl/>
        <w:suppressLineNumbers w:val="0"/>
        <w:shd w:val="clear" w:fill="FFFFFF"/>
        <w:adjustRightInd/>
        <w:spacing w:before="0" w:beforeAutospacing="1" w:after="0" w:afterAutospacing="0"/>
        <w:ind w:left="0" w:right="0" w:firstLine="640" w:firstLineChars="200"/>
        <w:jc w:val="both"/>
        <w:rPr>
          <w:rFonts w:hint="eastAsia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学院拥有省级重点学科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劳动卫生与环境卫生学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），教育厅高校科技创新团队（空气污染与健康），</w:t>
      </w:r>
      <w:r>
        <w:rPr>
          <w:rFonts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新乡市重点实验室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食品微量检测与风险评估实验室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、空气污染健康效应与干预实验室）</w:t>
      </w:r>
      <w:r>
        <w:rPr>
          <w:rFonts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以及校级重点实验室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环境污染与健康评估重点实验室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）</w:t>
      </w:r>
      <w:r>
        <w:rPr>
          <w:rFonts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近年来，学院先后购置了价值近900万元的现代化科研设备，新建了</w:t>
      </w:r>
      <w:r>
        <w:rPr>
          <w:rFonts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环境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污染与健康评估研究室、生物安全实验室（P2实验室）、肺脏电生理实验室、转化医学研究室、分子毒理学实验室、</w:t>
      </w:r>
      <w:r>
        <w:rPr>
          <w:rFonts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卫生检验中心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、环境</w:t>
      </w:r>
      <w:r>
        <w:rPr>
          <w:rFonts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暴露室、IVC实验动物中心、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细胞培养室、精密仪器室</w:t>
      </w:r>
      <w:r>
        <w:rPr>
          <w:rFonts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以及生物信息中心。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自2012年以来，学院先后承担国家和省厅级等各类科研项目37项，获得</w:t>
      </w:r>
      <w:r>
        <w:rPr>
          <w:rFonts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省科技厅、教育厅鉴定成果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以及其它</w:t>
      </w:r>
      <w:r>
        <w:rPr>
          <w:rFonts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各级科技成果奖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9</w:t>
      </w:r>
      <w:r>
        <w:rPr>
          <w:rFonts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项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，获课题经费1000余万元。</w:t>
      </w:r>
      <w:r>
        <w:rPr>
          <w:rFonts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发表SCI收录论文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20余</w:t>
      </w:r>
      <w:r>
        <w:rPr>
          <w:rFonts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篇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。</w:t>
      </w:r>
      <w:r>
        <w:rPr>
          <w:rFonts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主持和参与编写教材10部以上。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此外，</w:t>
      </w:r>
      <w:r>
        <w:rPr>
          <w:rFonts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学院广泛开展国际学术交流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和合作</w:t>
      </w:r>
      <w:r>
        <w:rPr>
          <w:rFonts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，与美国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和</w:t>
      </w:r>
      <w:r>
        <w:rPr>
          <w:rFonts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澳大利亚等国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的大学和研究所</w:t>
      </w:r>
      <w:r>
        <w:rPr>
          <w:rFonts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建立了科研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和人才培养</w:t>
      </w:r>
      <w:r>
        <w:rPr>
          <w:rFonts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合作关系。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 xml:space="preserve">学院现为中国毒理学会和中国环境科学学会会员单位。 </w:t>
      </w:r>
    </w:p>
    <w:p>
      <w:pPr>
        <w:keepNext w:val="0"/>
        <w:keepLines w:val="0"/>
        <w:widowControl/>
        <w:suppressLineNumbers w:val="0"/>
        <w:shd w:val="clear" w:fill="FFFFFF"/>
        <w:adjustRightInd/>
        <w:spacing w:before="0" w:beforeAutospacing="1" w:after="0" w:afterAutospacing="0"/>
        <w:ind w:left="0" w:right="0" w:firstLine="640" w:firstLineChars="200"/>
        <w:jc w:val="both"/>
        <w:rPr>
          <w:rFonts w:hint="eastAsia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学</w:t>
      </w:r>
      <w:r>
        <w:rPr>
          <w:rFonts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院设有公共卫生与预防医学一级学科硕士授权点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公共卫生专业硕士（MPH）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以及</w:t>
      </w:r>
      <w:r>
        <w:rPr>
          <w:rFonts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全科医学及临床医学（联合培养）方向硕士研究生培养点。本科专业包括预防医学、卫生检验与检疫和临床医学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（全科医学方向</w:t>
      </w:r>
      <w:r>
        <w:rPr>
          <w:rFonts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）。</w:t>
      </w:r>
    </w:p>
    <w:p>
      <w:pPr>
        <w:keepNext w:val="0"/>
        <w:keepLines w:val="0"/>
        <w:widowControl/>
        <w:suppressLineNumbers w:val="0"/>
        <w:shd w:val="clear" w:fill="FFFFFF"/>
        <w:adjustRightInd/>
        <w:spacing w:before="0" w:beforeAutospacing="1" w:after="0" w:afterAutospacing="0"/>
        <w:ind w:left="0" w:right="0" w:firstLine="640" w:firstLineChars="200"/>
        <w:jc w:val="both"/>
        <w:rPr>
          <w:rFonts w:hint="eastAsia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学院的发展思路是以邓小平理论、“三个代表”重要思想和科学发展观为指导，全面贯彻落实党和国家的教育工作方针，以改革创新为动力，以学科建设为龙头，以专业和师资队伍建设为基础，以培养高质量人才为根本，以制度建设为保障，努力</w:t>
      </w:r>
      <w:r>
        <w:rPr>
          <w:rFonts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把学院建设成为具有鲜明学科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专业特色</w:t>
      </w:r>
      <w:r>
        <w:rPr>
          <w:rFonts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、国际视野和较强竞争力的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教学研究型学院</w:t>
      </w:r>
      <w:r>
        <w:rPr>
          <w:rFonts w:ascii="仿宋_GB2312" w:hAnsi="宋体" w:eastAsia="仿宋_GB2312" w:cs="宋体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adjustRightInd/>
        <w:spacing w:before="0" w:beforeAutospacing="1" w:after="0" w:afterAutospacing="0" w:line="560" w:lineRule="exact"/>
        <w:ind w:left="0" w:right="0" w:firstLine="626" w:firstLineChars="195"/>
        <w:jc w:val="left"/>
      </w:pPr>
      <w:r>
        <w:rPr>
          <w:rStyle w:val="4"/>
          <w:rFonts w:hint="eastAsia" w:ascii="黑体" w:hAnsi="宋体" w:eastAsia="黑体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二、招聘计划     </w:t>
      </w:r>
      <w:r>
        <w:rPr>
          <w:rStyle w:val="4"/>
          <w:rFonts w:hint="eastAsia" w:ascii="黑体" w:hAnsi="宋体" w:eastAsia="黑体" w:cs="黑体"/>
          <w:bCs w:val="0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tbl>
      <w:tblPr>
        <w:tblStyle w:val="7"/>
        <w:tblW w:w="8724" w:type="dxa"/>
        <w:jc w:val="center"/>
        <w:tblInd w:w="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05"/>
        <w:gridCol w:w="1056"/>
        <w:gridCol w:w="416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jc w:val="center"/>
        </w:trPr>
        <w:tc>
          <w:tcPr>
            <w:tcW w:w="350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43" w:firstLineChars="200"/>
              <w:jc w:val="both"/>
            </w:pPr>
            <w:r>
              <w:rPr>
                <w:rStyle w:val="4"/>
                <w:rFonts w:hint="eastAsia" w:ascii="仿宋_GB2312" w:eastAsia="仿宋_GB2312" w:cs="仿宋_GB2312"/>
                <w:bCs w:val="0"/>
                <w:sz w:val="32"/>
                <w:szCs w:val="32"/>
              </w:rPr>
              <w:t>招聘专业名称</w:t>
            </w:r>
          </w:p>
        </w:tc>
        <w:tc>
          <w:tcPr>
            <w:tcW w:w="10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61" w:firstLineChars="50"/>
              <w:jc w:val="center"/>
            </w:pPr>
            <w:r>
              <w:rPr>
                <w:rStyle w:val="4"/>
                <w:rFonts w:hint="eastAsia" w:ascii="仿宋_GB2312" w:eastAsia="仿宋_GB2312" w:cs="仿宋_GB2312"/>
                <w:bCs w:val="0"/>
                <w:sz w:val="32"/>
                <w:szCs w:val="32"/>
              </w:rPr>
              <w:t>人数</w:t>
            </w:r>
          </w:p>
        </w:tc>
        <w:tc>
          <w:tcPr>
            <w:tcW w:w="41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21" w:firstLineChars="100"/>
              <w:jc w:val="both"/>
            </w:pPr>
            <w:r>
              <w:rPr>
                <w:rStyle w:val="4"/>
                <w:rFonts w:hint="eastAsia" w:ascii="仿宋_GB2312" w:eastAsia="仿宋_GB2312" w:cs="仿宋_GB2312"/>
                <w:bCs w:val="0"/>
                <w:sz w:val="32"/>
                <w:szCs w:val="32"/>
              </w:rPr>
              <w:t>联系人、电话、邮箱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350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公共卫生与预防医学—劳动卫生与环境卫生学</w:t>
            </w:r>
            <w:bookmarkStart w:id="0" w:name="_GoBack"/>
            <w:bookmarkEnd w:id="0"/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16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  <w:t> </w:t>
            </w:r>
            <w:r>
              <w:rPr>
                <w:rFonts w:hint="eastAsia" w:ascii="仿宋_GB2312" w:eastAsia="仿宋_GB2312" w:cs="仿宋_GB2312"/>
                <w:sz w:val="28"/>
                <w:szCs w:val="32"/>
              </w:rPr>
              <w:t>联 系 人：</w:t>
            </w:r>
            <w:r>
              <w:rPr>
                <w:rFonts w:hint="eastAsia" w:ascii="仿宋_GB2312" w:eastAsia="仿宋_GB2312" w:cs="仿宋_GB2312"/>
                <w:sz w:val="28"/>
                <w:szCs w:val="32"/>
                <w:lang w:eastAsia="zh-CN"/>
              </w:rPr>
              <w:t>孟</w:t>
            </w:r>
            <w:r>
              <w:rPr>
                <w:rFonts w:hint="eastAsia" w:ascii="仿宋_GB2312" w:eastAsia="仿宋_GB2312" w:cs="仿宋_GB2312"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32"/>
                <w:lang w:eastAsia="zh-CN"/>
              </w:rPr>
              <w:t>丽</w:t>
            </w:r>
            <w:r>
              <w:rPr>
                <w:rFonts w:hint="eastAsia" w:ascii="仿宋_GB2312" w:eastAsia="仿宋_GB2312" w:cs="仿宋_GB2312"/>
                <w:sz w:val="28"/>
                <w:szCs w:val="32"/>
                <w:lang w:val="en-US"/>
              </w:rPr>
              <w:br w:type="textWrapping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28"/>
                <w:szCs w:val="32"/>
              </w:rPr>
              <w:t>联系电话：</w:t>
            </w:r>
            <w:r>
              <w:rPr>
                <w:rFonts w:hint="eastAsia" w:ascii="仿宋_GB2312" w:eastAsia="仿宋_GB2312" w:cs="仿宋_GB2312"/>
                <w:sz w:val="28"/>
                <w:szCs w:val="32"/>
                <w:lang w:val="en-US"/>
              </w:rPr>
              <w:t>0373-3</w:t>
            </w:r>
            <w:r>
              <w:rPr>
                <w:rFonts w:hint="eastAsia" w:ascii="仿宋_GB2312" w:eastAsia="仿宋_GB2312" w:cs="仿宋_GB2312"/>
                <w:sz w:val="28"/>
                <w:szCs w:val="32"/>
                <w:lang w:val="en-US" w:eastAsia="zh-CN"/>
              </w:rPr>
              <w:t>831325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 w:firstLineChars="200"/>
              <w:jc w:val="center"/>
              <w:rPr>
                <w:lang w:val="en-US"/>
              </w:rPr>
            </w:pPr>
            <w:r>
              <w:rPr>
                <w:rFonts w:hint="eastAsia" w:ascii="仿宋_GB2312" w:eastAsia="仿宋_GB2312" w:cs="仿宋_GB2312"/>
                <w:sz w:val="28"/>
                <w:szCs w:val="32"/>
                <w:lang w:val="en-US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32"/>
                <w:lang w:val="en-US" w:eastAsia="zh-CN"/>
              </w:rPr>
              <w:t>15937384772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28"/>
                <w:szCs w:val="32"/>
              </w:rPr>
              <w:t>邮箱</w:t>
            </w:r>
            <w:r>
              <w:rPr>
                <w:rFonts w:hint="eastAsia" w:ascii="仿宋_GB2312" w:eastAsia="仿宋_GB2312" w:cs="仿宋_GB2312"/>
                <w:sz w:val="28"/>
                <w:szCs w:val="32"/>
                <w:lang w:val="en-US"/>
              </w:rPr>
              <w:t>:</w:t>
            </w:r>
            <w:r>
              <w:rPr>
                <w:rFonts w:hint="eastAsia" w:ascii="仿宋_GB2312" w:eastAsia="仿宋_GB2312" w:cs="仿宋_GB2312"/>
                <w:sz w:val="28"/>
                <w:szCs w:val="32"/>
                <w:lang w:val="en-US" w:eastAsia="zh-CN"/>
              </w:rPr>
              <w:t>gwxb</w:t>
            </w:r>
            <w:r>
              <w:rPr>
                <w:rFonts w:hint="eastAsia" w:ascii="仿宋_GB2312" w:eastAsia="仿宋_GB2312" w:cs="仿宋_GB2312"/>
                <w:sz w:val="28"/>
                <w:szCs w:val="32"/>
                <w:lang w:val="en-US"/>
              </w:rPr>
              <w:t>@xxmu.edu.cn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350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公共卫生与预防医学-卫生毒理学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1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350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公共卫生与预防医学（二级学科不限）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1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350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公共卫生与预防医学-儿少卫生与妇幼保健学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1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3505" w:type="dxa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公共卫生-营养学或食品卫生学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1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adjustRightInd/>
        <w:spacing w:before="0" w:beforeAutospacing="1" w:after="0" w:afterAutospacing="0" w:line="560" w:lineRule="exact"/>
        <w:ind w:left="0" w:right="0" w:firstLine="626" w:firstLineChars="195"/>
        <w:jc w:val="left"/>
      </w:pPr>
      <w:r>
        <w:rPr>
          <w:rStyle w:val="4"/>
          <w:rFonts w:hint="eastAsia" w:ascii="黑体" w:hAnsi="宋体" w:eastAsia="黑体" w:cs="Times New Roman"/>
          <w:kern w:val="0"/>
          <w:sz w:val="32"/>
          <w:szCs w:val="32"/>
          <w:shd w:val="clear" w:fill="FFFFFF"/>
          <w:lang w:val="en-US" w:eastAsia="zh-CN" w:bidi="ar"/>
        </w:rPr>
        <w:t>三、相关待遇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both"/>
      </w:pPr>
      <w:r>
        <w:rPr>
          <w:rFonts w:hint="eastAsia" w:ascii="仿宋_GB2312" w:eastAsia="仿宋_GB2312" w:cs="仿宋_GB2312"/>
          <w:sz w:val="32"/>
          <w:szCs w:val="32"/>
        </w:rPr>
        <w:t>引进博士（后）待遇以业绩为导向，对于业绩突出或具有医学教育背景者，给予政策倾斜。具体标准详见下表：</w:t>
      </w:r>
    </w:p>
    <w:tbl>
      <w:tblPr>
        <w:tblStyle w:val="7"/>
        <w:tblW w:w="8801" w:type="dxa"/>
        <w:jc w:val="center"/>
        <w:tblInd w:w="-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7"/>
        <w:gridCol w:w="3917"/>
        <w:gridCol w:w="1203"/>
        <w:gridCol w:w="832"/>
        <w:gridCol w:w="725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before="0" w:beforeAutospacing="1" w:after="0" w:afterAutospacing="1" w:line="480" w:lineRule="auto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人才分类</w:t>
            </w:r>
          </w:p>
        </w:tc>
        <w:tc>
          <w:tcPr>
            <w:tcW w:w="3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before="0" w:beforeAutospacing="1" w:after="0" w:afterAutospacing="1" w:line="480" w:lineRule="auto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满足下列条件之一（近五年业绩；均须为第一作者或通讯作者；经学校学术评价认定）</w:t>
            </w:r>
          </w:p>
        </w:tc>
        <w:tc>
          <w:tcPr>
            <w:tcW w:w="12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before="0" w:beforeAutospacing="1" w:after="0" w:afterAutospacing="1" w:line="480" w:lineRule="auto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岗位工资 （聘期3年）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before="0" w:beforeAutospacing="1" w:after="0" w:afterAutospacing="1" w:line="480" w:lineRule="auto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购房补贴 （万元）</w:t>
            </w:r>
          </w:p>
        </w:tc>
        <w:tc>
          <w:tcPr>
            <w:tcW w:w="1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before="0" w:beforeAutospacing="1" w:after="0" w:afterAutospacing="1" w:line="480" w:lineRule="auto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科研启动金（万元）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before="0" w:beforeAutospacing="1" w:after="0" w:afterAutospacing="1" w:line="480" w:lineRule="auto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非医学背景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before="0" w:beforeAutospacing="1" w:after="0" w:afterAutospacing="1" w:line="480" w:lineRule="auto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医学背景</w:t>
            </w:r>
          </w:p>
        </w:tc>
        <w:tc>
          <w:tcPr>
            <w:tcW w:w="1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before="0" w:beforeAutospacing="1" w:after="0" w:afterAutospacing="1" w:line="480" w:lineRule="auto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一类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before="0" w:beforeAutospacing="1" w:after="0" w:afterAutospacing="1" w:line="480" w:lineRule="auto"/>
              <w:ind w:left="0" w:right="0"/>
              <w:jc w:val="left"/>
              <w:textAlignment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在《Cell》、《Nature》、《Science》等国际顶尖杂志上发表学术论文，经学校评议具有学科带头人水平的博士（后）。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before="0" w:beforeAutospacing="1" w:after="0" w:afterAutospacing="1" w:line="480" w:lineRule="auto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三级教授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before="0" w:beforeAutospacing="1" w:after="0" w:afterAutospacing="1" w:line="480" w:lineRule="auto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before="0" w:beforeAutospacing="1" w:after="0" w:afterAutospacing="1" w:line="480" w:lineRule="auto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before="0" w:beforeAutospacing="1" w:after="0" w:afterAutospacing="1" w:line="480" w:lineRule="auto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理工300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 w:hRule="atLeas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before="0" w:beforeAutospacing="1" w:after="0" w:afterAutospacing="1" w:line="480" w:lineRule="auto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二类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before="0" w:beforeAutospacing="1" w:after="0" w:afterAutospacing="1" w:line="480" w:lineRule="auto"/>
              <w:ind w:left="0" w:right="0"/>
              <w:jc w:val="left"/>
              <w:textAlignment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1.单篇SCI论文IF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， 2.SCI论文IF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 xml:space="preserve">10两篇及以上， 3.在一区（中科院分区）发表SCI论文2篇及以上。 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before="0" w:beforeAutospacing="1" w:after="0" w:afterAutospacing="1" w:line="480" w:lineRule="auto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四级教授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before="0" w:beforeAutospacing="1" w:after="0" w:afterAutospacing="1" w:line="480" w:lineRule="auto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before="0" w:beforeAutospacing="1" w:after="0" w:afterAutospacing="1" w:line="480" w:lineRule="auto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before="0" w:beforeAutospacing="1" w:after="0" w:afterAutospacing="1" w:line="480" w:lineRule="auto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理工150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before="0" w:beforeAutospacing="1" w:after="0" w:afterAutospacing="1" w:line="480" w:lineRule="auto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三类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before="0" w:beforeAutospacing="1" w:after="0" w:afterAutospacing="1" w:line="480" w:lineRule="auto"/>
              <w:ind w:left="0" w:right="0"/>
              <w:jc w:val="left"/>
              <w:textAlignment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1.单篇SCI论文IF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 xml:space="preserve"> 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SCI论文IF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5两篇， 3.累计发表SCI论文IF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15， 4.二区（中科院分区）发表SCI论文2篇， 5.人文社科类博士（后）应独立在我校认定的本学科一级权威期刊发表论文2篇以上（含被《新华文摘》、《中国社会科学文摘》、《高等学校人文社科类学术文摘》或《人大复印报刊资料》全文转载的学术论文）。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before="0" w:beforeAutospacing="1" w:after="0" w:afterAutospacing="1" w:line="480" w:lineRule="auto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四级教授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before="0" w:beforeAutospacing="1" w:after="0" w:afterAutospacing="1" w:line="480" w:lineRule="auto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before="0" w:beforeAutospacing="1" w:after="0" w:afterAutospacing="1" w:line="480" w:lineRule="auto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before="0" w:beforeAutospacing="1" w:after="0" w:afterAutospacing="1" w:line="480" w:lineRule="auto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理工50+</w:t>
            </w:r>
          </w:p>
          <w:p>
            <w:pPr>
              <w:keepNext w:val="0"/>
              <w:keepLines w:val="0"/>
              <w:widowControl/>
              <w:suppressLineNumbers w:val="0"/>
              <w:adjustRightInd/>
              <w:spacing w:before="0" w:beforeAutospacing="1" w:after="0" w:afterAutospacing="1" w:line="480" w:lineRule="auto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人文10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before="0" w:beforeAutospacing="1" w:after="0" w:afterAutospacing="1" w:line="480" w:lineRule="auto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四类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before="0" w:beforeAutospacing="1" w:after="0" w:afterAutospacing="1" w:line="480" w:lineRule="auto"/>
              <w:ind w:left="0" w:right="0"/>
              <w:jc w:val="left"/>
              <w:textAlignment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其他国内外博士毕业生。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before="0" w:beforeAutospacing="1" w:after="0" w:afterAutospacing="1" w:line="480" w:lineRule="auto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七级副教授、四级教授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before="0" w:beforeAutospacing="1" w:after="0" w:afterAutospacing="1" w:line="480" w:lineRule="auto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before="0" w:beforeAutospacing="1" w:after="0" w:afterAutospacing="1" w:line="480" w:lineRule="auto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before="0" w:beforeAutospacing="1" w:after="0" w:afterAutospacing="1" w:line="480" w:lineRule="auto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理工20</w:t>
            </w:r>
          </w:p>
          <w:p>
            <w:pPr>
              <w:keepNext w:val="0"/>
              <w:keepLines w:val="0"/>
              <w:widowControl/>
              <w:suppressLineNumbers w:val="0"/>
              <w:adjustRightInd/>
              <w:spacing w:before="0" w:beforeAutospacing="1" w:after="0" w:afterAutospacing="1" w:line="480" w:lineRule="auto"/>
              <w:ind w:left="0" w:right="0"/>
              <w:jc w:val="center"/>
              <w:textAlignment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人文5</w:t>
            </w:r>
          </w:p>
        </w:tc>
      </w:tr>
    </w:tbl>
    <w:p>
      <w:pPr>
        <w:keepNext w:val="0"/>
        <w:keepLines w:val="0"/>
        <w:widowControl/>
        <w:suppressLineNumbers w:val="0"/>
        <w:adjustRightInd/>
        <w:spacing w:before="0" w:beforeAutospacing="1" w:after="0" w:afterAutospacing="0"/>
        <w:ind w:left="0" w:right="0"/>
        <w:jc w:val="both"/>
      </w:pPr>
      <w:r>
        <w:rPr>
          <w:rFonts w:ascii="瀹嬩綋" w:hAnsi="宋体" w:eastAsia="瀹嬩綋" w:cs="宋体"/>
          <w:kern w:val="0"/>
          <w:sz w:val="24"/>
          <w:szCs w:val="24"/>
          <w:lang w:val="en-US" w:eastAsia="zh-CN" w:bidi="ar"/>
        </w:rPr>
        <w:t>备注：所有待遇金额均为税前，需在本人证书齐全、人事档案转到学校并审核合格后兑现。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both"/>
      </w:pPr>
      <w:r>
        <w:rPr>
          <w:rFonts w:hint="eastAsia" w:ascii="仿宋_GB2312" w:eastAsia="仿宋_GB2312" w:cs="仿宋_GB2312"/>
          <w:sz w:val="32"/>
          <w:szCs w:val="32"/>
        </w:rPr>
        <w:t>除按照个人业绩聘期内享受相应岗位工资、购房补贴、科研启动金外，新进博士（后）还享受以下相应待遇：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both"/>
      </w:pPr>
      <w:r>
        <w:rPr>
          <w:rFonts w:hint="eastAsia" w:ascii="仿宋_GB2312" w:eastAsia="仿宋_GB2312" w:cs="仿宋_GB2312"/>
          <w:sz w:val="32"/>
          <w:szCs w:val="32"/>
          <w:lang w:val="en-US"/>
        </w:rPr>
        <w:t>1.</w:t>
      </w:r>
      <w:r>
        <w:rPr>
          <w:rFonts w:hint="eastAsia" w:ascii="仿宋_GB2312" w:eastAsia="仿宋_GB2312" w:cs="仿宋_GB2312"/>
          <w:sz w:val="32"/>
          <w:szCs w:val="32"/>
        </w:rPr>
        <w:t>对于第四类引进的博士（后），中级以下职称者校内聘为七级副教授岗位，具有副高级职称者校内聘为四级教授岗位，享受相应级别的岗位工资及津补贴；业绩达到享受更高等级岗位待遇的博士（后），按照对应级别享受岗位工资及津补贴。以上岗位校内聘期限均为</w:t>
      </w:r>
      <w:r>
        <w:rPr>
          <w:rFonts w:hint="eastAsia" w:ascii="仿宋_GB2312" w:eastAsia="仿宋_GB2312" w:cs="仿宋_GB2312"/>
          <w:sz w:val="32"/>
          <w:szCs w:val="32"/>
          <w:lang w:val="en-US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年。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both"/>
      </w:pPr>
      <w:r>
        <w:rPr>
          <w:rFonts w:hint="eastAsia" w:ascii="仿宋_GB2312" w:eastAsia="仿宋_GB2312" w:cs="仿宋_GB2312"/>
          <w:sz w:val="32"/>
          <w:szCs w:val="32"/>
          <w:lang w:val="en-US"/>
        </w:rPr>
        <w:t>2.</w:t>
      </w:r>
      <w:r>
        <w:rPr>
          <w:rFonts w:hint="eastAsia" w:ascii="仿宋_GB2312" w:eastAsia="仿宋_GB2312" w:cs="仿宋_GB2312"/>
          <w:sz w:val="32"/>
          <w:szCs w:val="32"/>
        </w:rPr>
        <w:t>实行学位津贴，每月享受</w:t>
      </w:r>
      <w:r>
        <w:rPr>
          <w:rFonts w:hint="eastAsia" w:ascii="仿宋_GB2312" w:eastAsia="仿宋_GB2312" w:cs="仿宋_GB2312"/>
          <w:sz w:val="32"/>
          <w:szCs w:val="32"/>
          <w:lang w:val="en-US"/>
        </w:rPr>
        <w:t>1000</w:t>
      </w:r>
      <w:r>
        <w:rPr>
          <w:rFonts w:hint="eastAsia" w:ascii="仿宋_GB2312" w:eastAsia="仿宋_GB2312" w:cs="仿宋_GB2312"/>
          <w:sz w:val="32"/>
          <w:szCs w:val="32"/>
        </w:rPr>
        <w:t>元学位津贴。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both"/>
      </w:pPr>
      <w:r>
        <w:rPr>
          <w:rFonts w:hint="eastAsia" w:ascii="仿宋_GB2312" w:eastAsia="仿宋_GB2312" w:cs="仿宋_GB2312"/>
          <w:sz w:val="32"/>
          <w:szCs w:val="32"/>
          <w:lang w:val="en-US"/>
        </w:rPr>
        <w:t>3.</w:t>
      </w:r>
      <w:r>
        <w:rPr>
          <w:rFonts w:hint="eastAsia" w:ascii="仿宋_GB2312" w:eastAsia="仿宋_GB2312" w:cs="仿宋_GB2312"/>
          <w:sz w:val="32"/>
          <w:szCs w:val="32"/>
        </w:rPr>
        <w:t>提供</w:t>
      </w:r>
      <w:r>
        <w:rPr>
          <w:rFonts w:hint="eastAsia" w:ascii="仿宋_GB2312" w:eastAsia="仿宋_GB2312" w:cs="仿宋_GB2312"/>
          <w:sz w:val="32"/>
          <w:szCs w:val="32"/>
          <w:lang w:val="en-US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年周转房或</w:t>
      </w:r>
      <w:r>
        <w:rPr>
          <w:rFonts w:hint="eastAsia" w:ascii="仿宋_GB2312" w:eastAsia="仿宋_GB2312" w:cs="仿宋_GB2312"/>
          <w:sz w:val="32"/>
          <w:szCs w:val="32"/>
          <w:lang w:val="en-US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年租房补贴（</w:t>
      </w:r>
      <w:r>
        <w:rPr>
          <w:rFonts w:hint="eastAsia" w:ascii="仿宋_GB2312" w:eastAsia="仿宋_GB2312" w:cs="仿宋_GB2312"/>
          <w:sz w:val="32"/>
          <w:szCs w:val="32"/>
          <w:lang w:val="en-US"/>
        </w:rPr>
        <w:t>500</w:t>
      </w:r>
      <w:r>
        <w:rPr>
          <w:rFonts w:hint="eastAsia" w:ascii="仿宋_GB2312" w:eastAsia="仿宋_GB2312" w:cs="仿宋_GB2312"/>
          <w:sz w:val="32"/>
          <w:szCs w:val="32"/>
        </w:rPr>
        <w:t>元</w:t>
      </w:r>
      <w:r>
        <w:rPr>
          <w:rFonts w:hint="eastAsia" w:ascii="仿宋_GB2312" w:eastAsia="仿宋_GB2312" w:cs="仿宋_GB2312"/>
          <w:sz w:val="32"/>
          <w:szCs w:val="32"/>
          <w:lang w:val="en-US"/>
        </w:rPr>
        <w:t>/</w:t>
      </w:r>
      <w:r>
        <w:rPr>
          <w:rFonts w:hint="eastAsia" w:ascii="仿宋_GB2312" w:eastAsia="仿宋_GB2312" w:cs="仿宋_GB2312"/>
          <w:sz w:val="32"/>
          <w:szCs w:val="32"/>
        </w:rPr>
        <w:t>月）。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both"/>
      </w:pPr>
      <w:r>
        <w:rPr>
          <w:rFonts w:hint="eastAsia" w:ascii="仿宋_GB2312" w:eastAsia="仿宋_GB2312" w:cs="仿宋_GB2312"/>
          <w:sz w:val="32"/>
          <w:szCs w:val="32"/>
          <w:lang w:val="en-US"/>
        </w:rPr>
        <w:t>4.</w:t>
      </w:r>
      <w:r>
        <w:rPr>
          <w:rFonts w:hint="eastAsia" w:ascii="仿宋_GB2312" w:eastAsia="仿宋_GB2312" w:cs="仿宋_GB2312"/>
          <w:sz w:val="32"/>
          <w:szCs w:val="32"/>
        </w:rPr>
        <w:t>配备工作用笔记本电脑</w:t>
      </w:r>
      <w:r>
        <w:rPr>
          <w:rFonts w:hint="eastAsia" w:ascii="仿宋_GB2312" w:eastAsia="仿宋_GB2312" w:cs="仿宋_GB2312"/>
          <w:sz w:val="32"/>
          <w:szCs w:val="32"/>
          <w:lang w:val="en-US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both"/>
      </w:pPr>
      <w:r>
        <w:rPr>
          <w:rFonts w:hint="eastAsia" w:ascii="仿宋_GB2312" w:eastAsia="仿宋_GB2312" w:cs="仿宋_GB2312"/>
          <w:sz w:val="32"/>
          <w:szCs w:val="32"/>
          <w:lang w:val="en-US"/>
        </w:rPr>
        <w:t>5.</w:t>
      </w:r>
      <w:r>
        <w:rPr>
          <w:rFonts w:hint="eastAsia" w:ascii="仿宋_GB2312" w:eastAsia="仿宋_GB2312" w:cs="仿宋_GB2312"/>
          <w:sz w:val="32"/>
          <w:szCs w:val="32"/>
        </w:rPr>
        <w:t>为博士（后）配偶提供工作岗位，协助解决子女就近入托、入学问题。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both"/>
      </w:pPr>
      <w:r>
        <w:rPr>
          <w:rFonts w:hint="eastAsia" w:ascii="仿宋_GB2312" w:eastAsia="仿宋_GB2312" w:cs="仿宋_GB2312"/>
          <w:sz w:val="32"/>
          <w:szCs w:val="32"/>
          <w:lang w:val="en-US"/>
        </w:rPr>
        <w:t>6.</w:t>
      </w:r>
      <w:r>
        <w:rPr>
          <w:rFonts w:hint="eastAsia" w:ascii="仿宋_GB2312" w:eastAsia="仿宋_GB2312" w:cs="仿宋_GB2312"/>
          <w:sz w:val="32"/>
          <w:szCs w:val="32"/>
        </w:rPr>
        <w:t>为来院面试博士（后）提供</w:t>
      </w:r>
      <w:r>
        <w:rPr>
          <w:rFonts w:hint="eastAsia" w:ascii="仿宋_GB2312" w:eastAsia="仿宋_GB2312" w:cs="仿宋_GB2312"/>
          <w:sz w:val="32"/>
          <w:szCs w:val="32"/>
          <w:lang w:val="en-US"/>
        </w:rPr>
        <w:t>3000</w:t>
      </w:r>
      <w:r>
        <w:rPr>
          <w:rFonts w:hint="eastAsia" w:ascii="仿宋_GB2312" w:eastAsia="仿宋_GB2312" w:cs="仿宋_GB2312"/>
          <w:sz w:val="32"/>
          <w:szCs w:val="32"/>
        </w:rPr>
        <w:t>元交通补贴。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both"/>
      </w:pPr>
      <w:r>
        <w:rPr>
          <w:rFonts w:hint="eastAsia" w:ascii="仿宋_GB2312" w:eastAsia="仿宋_GB2312" w:cs="仿宋_GB2312"/>
          <w:sz w:val="32"/>
          <w:szCs w:val="32"/>
          <w:lang w:val="en-US"/>
        </w:rPr>
        <w:t>7.</w:t>
      </w:r>
      <w:r>
        <w:rPr>
          <w:rFonts w:hint="eastAsia" w:ascii="仿宋_GB2312" w:eastAsia="仿宋_GB2312" w:cs="仿宋_GB2312"/>
          <w:sz w:val="32"/>
          <w:szCs w:val="32"/>
        </w:rPr>
        <w:t>除上述政策外，学院额外给予科研启动金、科研平台、办公条件和政策上的倾斜，具体情况会根据个人条件另行商定。</w:t>
      </w:r>
    </w:p>
    <w:p>
      <w:pPr>
        <w:keepNext w:val="0"/>
        <w:keepLines w:val="0"/>
        <w:widowControl/>
        <w:suppressLineNumbers w:val="0"/>
        <w:shd w:val="clear" w:fill="FFFFFF"/>
        <w:adjustRightInd/>
        <w:spacing w:before="0" w:beforeAutospacing="1" w:after="0" w:afterAutospacing="0" w:line="560" w:lineRule="exact"/>
        <w:ind w:left="0" w:right="0" w:firstLine="626" w:firstLineChars="195"/>
        <w:jc w:val="left"/>
      </w:pPr>
      <w:r>
        <w:rPr>
          <w:rStyle w:val="4"/>
          <w:rFonts w:hint="eastAsia" w:ascii="黑体" w:hAnsi="宋体" w:eastAsia="黑体" w:cs="Times New Roman"/>
          <w:kern w:val="0"/>
          <w:sz w:val="32"/>
          <w:szCs w:val="32"/>
          <w:shd w:val="clear" w:fill="FFFFFF"/>
          <w:lang w:val="en-US" w:eastAsia="zh-CN" w:bidi="ar"/>
        </w:rPr>
        <w:t>四、应聘方式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both"/>
      </w:pPr>
      <w:r>
        <w:rPr>
          <w:rFonts w:hint="eastAsia" w:ascii="仿宋_GB2312" w:eastAsia="仿宋_GB2312" w:cs="仿宋_GB2312"/>
          <w:sz w:val="32"/>
          <w:szCs w:val="32"/>
        </w:rPr>
        <w:t>有意来我院应聘者，请与招聘工作人员联系，也可以将自荐材料通过</w:t>
      </w:r>
      <w:r>
        <w:rPr>
          <w:rFonts w:hint="eastAsia" w:ascii="仿宋_GB2312" w:eastAsia="仿宋_GB2312" w:cs="仿宋_GB2312"/>
          <w:sz w:val="32"/>
          <w:szCs w:val="32"/>
          <w:lang w:val="en-US"/>
        </w:rPr>
        <w:t>E-mail</w:t>
      </w:r>
      <w:r>
        <w:rPr>
          <w:rFonts w:hint="eastAsia" w:ascii="仿宋_GB2312" w:eastAsia="仿宋_GB2312" w:cs="仿宋_GB2312"/>
          <w:sz w:val="32"/>
          <w:szCs w:val="32"/>
        </w:rPr>
        <w:t>发送到：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gwxb</w:t>
      </w:r>
      <w:r>
        <w:rPr>
          <w:rFonts w:hint="eastAsia" w:ascii="仿宋_GB2312" w:eastAsia="仿宋_GB2312" w:cs="仿宋_GB2312"/>
          <w:sz w:val="32"/>
          <w:szCs w:val="32"/>
          <w:lang w:val="en-US"/>
        </w:rPr>
        <w:t>@xxmu.edu.cn</w:t>
      </w:r>
      <w:r>
        <w:rPr>
          <w:rFonts w:hint="eastAsia" w:ascii="仿宋_GB2312" w:eastAsia="仿宋_GB2312" w:cs="仿宋_GB2312"/>
          <w:sz w:val="32"/>
          <w:szCs w:val="32"/>
        </w:rPr>
        <w:t>（邮件标题请以“学校</w:t>
      </w:r>
      <w:r>
        <w:rPr>
          <w:rFonts w:hint="eastAsia" w:ascii="仿宋_GB2312" w:eastAsia="仿宋_GB2312" w:cs="仿宋_GB2312"/>
          <w:sz w:val="32"/>
          <w:szCs w:val="32"/>
          <w:lang w:val="en-US"/>
        </w:rPr>
        <w:t>+</w:t>
      </w:r>
      <w:r>
        <w:rPr>
          <w:rFonts w:hint="eastAsia" w:ascii="仿宋_GB2312" w:eastAsia="仿宋_GB2312" w:cs="仿宋_GB2312"/>
          <w:sz w:val="32"/>
          <w:szCs w:val="32"/>
        </w:rPr>
        <w:t>专业</w:t>
      </w:r>
      <w:r>
        <w:rPr>
          <w:rFonts w:hint="eastAsia" w:ascii="仿宋_GB2312" w:eastAsia="仿宋_GB2312" w:cs="仿宋_GB2312"/>
          <w:sz w:val="32"/>
          <w:szCs w:val="32"/>
          <w:lang w:val="en-US"/>
        </w:rPr>
        <w:t>+</w:t>
      </w:r>
      <w:r>
        <w:rPr>
          <w:rFonts w:hint="eastAsia" w:ascii="仿宋_GB2312" w:eastAsia="仿宋_GB2312" w:cs="仿宋_GB2312"/>
          <w:sz w:val="32"/>
          <w:szCs w:val="32"/>
        </w:rPr>
        <w:t>姓名</w:t>
      </w:r>
      <w:r>
        <w:rPr>
          <w:rFonts w:hint="eastAsia" w:ascii="仿宋_GB2312" w:eastAsia="仿宋_GB2312" w:cs="仿宋_GB2312"/>
          <w:sz w:val="32"/>
          <w:szCs w:val="32"/>
          <w:lang w:val="en-US"/>
        </w:rPr>
        <w:t>+</w:t>
      </w:r>
      <w:r>
        <w:rPr>
          <w:rFonts w:hint="eastAsia" w:ascii="仿宋_GB2312" w:eastAsia="仿宋_GB2312" w:cs="仿宋_GB2312"/>
          <w:sz w:val="32"/>
          <w:szCs w:val="32"/>
        </w:rPr>
        <w:t>应聘院系”命名）。自荐材料包括：个人基本信息、学习工作简历、学历学位证书扫描件、任职证书扫描件、主要业绩、研究方向和研究设想等。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1" w:after="0" w:afterAutospacing="1" w:line="540" w:lineRule="exact"/>
        <w:ind w:left="0" w:right="0" w:firstLine="640" w:firstLineChars="200"/>
        <w:jc w:val="left"/>
      </w:pPr>
      <w:r>
        <w:rPr>
          <w:rFonts w:ascii="仿宋_GB2312" w:hAnsi="Calibri" w:eastAsia="仿宋_GB2312" w:cs="仿宋_GB2312"/>
          <w:kern w:val="0"/>
          <w:sz w:val="32"/>
          <w:szCs w:val="32"/>
          <w:lang w:val="en-US" w:eastAsia="zh-CN" w:bidi="ar"/>
        </w:rPr>
        <w:t>欢迎各位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博士</w:t>
      </w:r>
      <w:r>
        <w:rPr>
          <w:rFonts w:ascii="仿宋_GB2312" w:hAnsi="Calibri" w:eastAsia="仿宋_GB2312" w:cs="仿宋_GB2312"/>
          <w:kern w:val="0"/>
          <w:sz w:val="32"/>
          <w:szCs w:val="32"/>
          <w:lang w:val="en-US" w:eastAsia="zh-CN" w:bidi="ar"/>
        </w:rPr>
        <w:t>来校</w:t>
      </w:r>
      <w:r>
        <w:rPr>
          <w:rFonts w:hint="eastAsia" w:ascii="仿宋_GB2312" w:hAnsi="瀹嬩綋" w:eastAsia="仿宋_GB2312" w:cs="仿宋_GB2312"/>
          <w:kern w:val="0"/>
          <w:sz w:val="32"/>
          <w:szCs w:val="32"/>
          <w:lang w:val="en-US" w:eastAsia="zh-CN" w:bidi="ar"/>
        </w:rPr>
        <w:t>考察和应聘，来校路线：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1" w:after="0" w:afterAutospacing="1" w:line="540" w:lineRule="exact"/>
        <w:ind w:left="0" w:right="0" w:firstLine="640" w:firstLineChars="200"/>
        <w:jc w:val="left"/>
      </w:pPr>
      <w:r>
        <w:rPr>
          <w:rFonts w:hint="eastAsia" w:ascii="仿宋_GB2312" w:hAnsi="瀹嬩綋" w:eastAsia="仿宋_GB2312" w:cs="仿宋_GB2312"/>
          <w:kern w:val="0"/>
          <w:sz w:val="32"/>
          <w:szCs w:val="32"/>
          <w:lang w:val="en-US" w:eastAsia="zh-CN" w:bidi="ar"/>
        </w:rPr>
        <w:t>1.新乡高铁东站乘坐9路/45路/56路至新乡医学院下车（约25min）,乘坐出租车约10min。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1" w:after="0" w:afterAutospacing="1" w:line="540" w:lineRule="exact"/>
        <w:ind w:left="0" w:right="0" w:firstLine="640" w:firstLineChars="200"/>
        <w:jc w:val="left"/>
      </w:pPr>
      <w:r>
        <w:rPr>
          <w:rFonts w:hint="eastAsia" w:ascii="仿宋_GB2312" w:hAnsi="瀹嬩綋" w:eastAsia="仿宋_GB2312" w:cs="仿宋_GB2312"/>
          <w:kern w:val="0"/>
          <w:sz w:val="32"/>
          <w:szCs w:val="32"/>
          <w:lang w:val="en-US" w:eastAsia="zh-CN" w:bidi="ar"/>
        </w:rPr>
        <w:t>2.新乡火车站乘坐5路/7路/62路至新乡医学院下车（30min），乘坐出租车约20min。</w:t>
      </w:r>
    </w:p>
    <w:p>
      <w:pPr>
        <w:pStyle w:val="2"/>
        <w:keepNext w:val="0"/>
        <w:keepLines w:val="0"/>
        <w:widowControl/>
        <w:suppressLineNumbers w:val="0"/>
        <w:jc w:val="left"/>
        <w:rPr>
          <w:rFonts w:hint="eastAsia" w:ascii="仿宋_GB2312" w:hAnsi="Tahoma" w:eastAsia="仿宋_GB2312" w:cs="Times New Roman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jc w:val="right"/>
      </w:pPr>
      <w:r>
        <w:rPr>
          <w:rFonts w:hint="eastAsia" w:ascii="仿宋_GB2312" w:hAnsi="Tahoma" w:eastAsia="仿宋_GB2312" w:cs="Times New Roman"/>
          <w:sz w:val="32"/>
          <w:szCs w:val="32"/>
          <w:lang w:val="en-US" w:eastAsia="zh-CN" w:bidi="ar"/>
        </w:rPr>
        <w:t>2017年3月21日 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64143"/>
    <w:rsid w:val="294652DB"/>
    <w:rsid w:val="35764143"/>
    <w:rsid w:val="3A09425A"/>
    <w:rsid w:val="432C6006"/>
    <w:rsid w:val="64591588"/>
    <w:rsid w:val="64A46827"/>
    <w:rsid w:val="6A277D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000000"/>
      <w:u w:val="none"/>
    </w:rPr>
  </w:style>
  <w:style w:type="character" w:styleId="6">
    <w:name w:val="Hyperlink"/>
    <w:basedOn w:val="3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2017-09-25T09:21:00Z</dcterms:created>
  <dc:creator>Administrator</dc:creator>
  <cp:lastModifiedBy>Administrator</cp:lastModifiedBy>
  <dcterms:modified xsi:type="dcterms:W3CDTF">2017-09-26T00:37:13Z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