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jc w:val="left"/>
        <w:rPr>
          <w:rFonts w:hint="eastAsia" w:ascii="仿宋_GB2312" w:hAnsi="仿宋_GB2312" w:eastAsia="仿宋_GB2312" w:cs="仿宋_GB2312"/>
          <w:spacing w:val="0"/>
          <w:kern w:val="0"/>
          <w:sz w:val="24"/>
          <w:szCs w:val="24"/>
          <w:shd w:val="clear" w:fill="FFFFFF"/>
          <w:lang w:val="en-US" w:eastAsia="zh-CN" w:bidi="ar"/>
        </w:rPr>
      </w:pPr>
      <w:r>
        <w:rPr>
          <w:rFonts w:hint="eastAsia" w:ascii="仿宋_GB2312" w:hAnsi="仿宋_GB2312" w:eastAsia="仿宋_GB2312" w:cs="仿宋_GB2312"/>
          <w:spacing w:val="0"/>
          <w:kern w:val="0"/>
          <w:sz w:val="24"/>
          <w:szCs w:val="24"/>
          <w:shd w:val="clear" w:fill="FFFFFF"/>
          <w:lang w:val="en-US" w:eastAsia="zh-CN" w:bidi="ar"/>
        </w:rPr>
        <w:t>附件2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center"/>
        <w:rPr>
          <w:rStyle w:val="4"/>
          <w:rFonts w:hint="eastAsia" w:ascii="方正小标宋简体" w:hAnsi="方正小标宋简体" w:eastAsia="方正小标宋简体" w:cs="方正小标宋简体"/>
          <w:spacing w:val="0"/>
          <w:kern w:val="0"/>
          <w:sz w:val="36"/>
          <w:szCs w:val="36"/>
          <w:shd w:val="clear" w:fill="FFFFFF"/>
          <w:lang w:val="en-US" w:eastAsia="zh-CN" w:bidi="ar"/>
        </w:rPr>
      </w:pPr>
      <w:r>
        <w:rPr>
          <w:rStyle w:val="4"/>
          <w:rFonts w:hint="eastAsia" w:ascii="方正小标宋简体" w:hAnsi="方正小标宋简体" w:eastAsia="方正小标宋简体" w:cs="方正小标宋简体"/>
          <w:spacing w:val="0"/>
          <w:kern w:val="0"/>
          <w:sz w:val="36"/>
          <w:szCs w:val="36"/>
          <w:shd w:val="clear" w:fill="FFFFFF"/>
          <w:lang w:val="en-US" w:eastAsia="zh-CN" w:bidi="ar"/>
        </w:rPr>
        <w:t>关于高等学校教师资格认定材料受理工作有关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center"/>
        <w:rPr>
          <w:rStyle w:val="4"/>
          <w:rFonts w:hint="eastAsia" w:ascii="方正小标宋简体" w:hAnsi="方正小标宋简体" w:eastAsia="方正小标宋简体" w:cs="方正小标宋简体"/>
          <w:spacing w:val="0"/>
          <w:kern w:val="0"/>
          <w:sz w:val="36"/>
          <w:szCs w:val="36"/>
          <w:shd w:val="clear" w:fill="FFFFFF"/>
          <w:lang w:val="en-US" w:eastAsia="zh-CN" w:bidi="ar"/>
        </w:rPr>
      </w:pPr>
      <w:r>
        <w:rPr>
          <w:rStyle w:val="4"/>
          <w:rFonts w:hint="eastAsia" w:ascii="方正小标宋简体" w:hAnsi="方正小标宋简体" w:eastAsia="方正小标宋简体" w:cs="方正小标宋简体"/>
          <w:spacing w:val="0"/>
          <w:kern w:val="0"/>
          <w:sz w:val="36"/>
          <w:szCs w:val="36"/>
          <w:shd w:val="clear" w:fill="FFFFFF"/>
          <w:lang w:val="en-US" w:eastAsia="zh-CN" w:bidi="ar"/>
        </w:rPr>
        <w:t>问题的说明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sz w:val="30"/>
          <w:szCs w:val="30"/>
        </w:rPr>
      </w:pPr>
      <w:r>
        <w:rPr>
          <w:rStyle w:val="4"/>
          <w:rFonts w:hint="eastAsia" w:ascii="仿宋_GB2312" w:hAnsi="仿宋_GB2312" w:eastAsia="仿宋_GB2312" w:cs="仿宋_GB2312"/>
          <w:spacing w:val="0"/>
          <w:kern w:val="0"/>
          <w:sz w:val="30"/>
          <w:szCs w:val="30"/>
          <w:shd w:val="clear" w:fill="FFFFFF"/>
          <w:lang w:val="en-US" w:eastAsia="zh-CN" w:bidi="ar"/>
        </w:rPr>
        <w:t>一、高等学校教师资格认定材料按两类人员受理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kern w:val="0"/>
          <w:sz w:val="30"/>
          <w:szCs w:val="30"/>
          <w:shd w:val="clear" w:fill="FFFFFF"/>
          <w:lang w:val="en-US" w:eastAsia="zh-CN" w:bidi="ar"/>
        </w:rPr>
        <w:t>1.参加面试人员范围：2018年上半年河南省高校教师资格笔试合格、面试不合格人员，及2018年下半年、2019年上半年河南省高校教师资格笔试合格人员。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2.直接认定人员范围：2015年（含）前入学的全日制普招类师范生和全日制教育硕士;具有博士学位人员;具有高校教师系列副教授以上职称人员。以上人员申请任教学科必须与所学专业一致。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3.我校直属附属医院和非直属附属医院临床教学人员参加高等学校教师资格考试，除具备《教师资格条例》等规定的条件外，还应具备下列条件：</w:t>
      </w:r>
      <w:r>
        <w:rPr>
          <w:rFonts w:hint="default" w:ascii="仿宋_GB2312" w:hAnsi="仿宋_GB2312" w:eastAsia="仿宋_GB2312" w:cs="仿宋_GB2312"/>
          <w:spacing w:val="0"/>
          <w:kern w:val="0"/>
          <w:sz w:val="30"/>
          <w:szCs w:val="30"/>
          <w:shd w:val="clear" w:fill="FFFFFF"/>
          <w:lang w:val="en-US" w:eastAsia="zh-CN" w:bidi="ar"/>
        </w:rPr>
        <w:t>1.由学校人事部门纳入学校教师管理；2.取得卫生系统中级及以上专业技术职务；3.系统讲授1门以上学校教学计划规定的课程。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Style w:val="4"/>
          <w:rFonts w:hint="eastAsia" w:ascii="仿宋_GB2312" w:hAnsi="仿宋_GB2312" w:eastAsia="仿宋_GB2312" w:cs="仿宋_GB2312"/>
          <w:spacing w:val="0"/>
          <w:kern w:val="0"/>
          <w:sz w:val="30"/>
          <w:szCs w:val="30"/>
          <w:shd w:val="clear" w:fill="FFFFFF"/>
          <w:lang w:val="en-US" w:eastAsia="zh-CN" w:bidi="ar"/>
        </w:rPr>
      </w:pPr>
      <w:r>
        <w:rPr>
          <w:rStyle w:val="4"/>
          <w:rFonts w:hint="eastAsia" w:ascii="仿宋_GB2312" w:hAnsi="仿宋_GB2312" w:eastAsia="仿宋_GB2312" w:cs="仿宋_GB2312"/>
          <w:spacing w:val="0"/>
          <w:kern w:val="0"/>
          <w:sz w:val="30"/>
          <w:szCs w:val="30"/>
          <w:shd w:val="clear" w:fill="FFFFFF"/>
          <w:lang w:val="en-US" w:eastAsia="zh-CN" w:bidi="ar"/>
        </w:rPr>
        <w:t>二、申请高等学校教师资格人员均应具有以下基本条件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1.中国公民身份。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2.河南省境内普通高等学校在编或已聘任教学人员、与高等学校签订工作协议或聘用合同的教学人员。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3.体检合格，以指定体检医院体检结论为准。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4.本科及以上学历。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5.普通话水平达到二级乙等及以上标准，以普通话等级证书为准（具有高校教师系列副教授职称或博士学位人员除外）。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Style w:val="4"/>
          <w:rFonts w:hint="eastAsia" w:ascii="仿宋_GB2312" w:hAnsi="仿宋_GB2312" w:eastAsia="仿宋_GB2312" w:cs="仿宋_GB2312"/>
          <w:spacing w:val="0"/>
          <w:kern w:val="0"/>
          <w:sz w:val="30"/>
          <w:szCs w:val="30"/>
          <w:shd w:val="clear" w:fill="FFFFFF"/>
          <w:lang w:val="en-US" w:eastAsia="zh-CN" w:bidi="ar"/>
        </w:rPr>
      </w:pPr>
      <w:r>
        <w:rPr>
          <w:rStyle w:val="4"/>
          <w:rFonts w:hint="eastAsia" w:ascii="仿宋_GB2312" w:hAnsi="仿宋_GB2312" w:eastAsia="仿宋_GB2312" w:cs="仿宋_GB2312"/>
          <w:spacing w:val="0"/>
          <w:kern w:val="0"/>
          <w:sz w:val="30"/>
          <w:szCs w:val="30"/>
          <w:shd w:val="clear" w:fill="FFFFFF"/>
          <w:lang w:val="en-US" w:eastAsia="zh-CN" w:bidi="ar"/>
        </w:rPr>
        <w:t>三、关于全日制师范生申请直接认定的几种情况说明</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1.全日制本科师范毕业生：</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（1）须提供入学当年招生计划表复印件（招生计划表必须明确显示其为师范专业，并加盖相关部门公章）。</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2.专升本师范毕业生</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（1）由非师范专业专科升入师范专业本科连读的毕业生，须提供本科入学当年招生计划表复印件（招生计划表必须明确显示其为师范专业，并加盖相关部门公章）。</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（2）由师范专业专科升入非师范专业本科连读的毕业生，不能按全日制本科师范生直接认定政策对待。</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3.硕士研究生</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（1）硕士研究生学历中，以中小学教师为招生对象的</w:t>
      </w:r>
      <w:r>
        <w:rPr>
          <w:rFonts w:hint="eastAsia" w:ascii="仿宋_GB2312" w:hAnsi="仿宋_GB2312" w:eastAsia="仿宋_GB2312" w:cs="仿宋_GB2312"/>
          <w:sz w:val="30"/>
          <w:szCs w:val="30"/>
          <w:cs/>
        </w:rPr>
        <w:t>“</w:t>
      </w:r>
      <w:r>
        <w:rPr>
          <w:rFonts w:hint="eastAsia" w:ascii="仿宋_GB2312" w:hAnsi="仿宋_GB2312" w:eastAsia="仿宋_GB2312" w:cs="仿宋_GB2312"/>
          <w:sz w:val="30"/>
          <w:szCs w:val="30"/>
        </w:rPr>
        <w:t>教育硕士</w:t>
      </w:r>
      <w:r>
        <w:rPr>
          <w:rFonts w:hint="eastAsia" w:ascii="仿宋_GB2312" w:hAnsi="仿宋_GB2312" w:eastAsia="仿宋_GB2312" w:cs="仿宋_GB2312"/>
          <w:sz w:val="30"/>
          <w:szCs w:val="30"/>
          <w:cs/>
        </w:rPr>
        <w:t>”</w:t>
      </w:r>
      <w:r>
        <w:rPr>
          <w:rFonts w:hint="eastAsia" w:ascii="仿宋_GB2312" w:hAnsi="仿宋_GB2312" w:eastAsia="仿宋_GB2312" w:cs="仿宋_GB2312"/>
          <w:sz w:val="30"/>
          <w:szCs w:val="30"/>
        </w:rPr>
        <w:t>（注:“教育硕士”同</w:t>
      </w:r>
      <w:r>
        <w:rPr>
          <w:rFonts w:hint="eastAsia" w:ascii="仿宋_GB2312" w:hAnsi="仿宋_GB2312" w:eastAsia="仿宋_GB2312" w:cs="仿宋_GB2312"/>
          <w:sz w:val="30"/>
          <w:szCs w:val="30"/>
          <w:cs/>
        </w:rPr>
        <w:t>“</w:t>
      </w:r>
      <w:r>
        <w:rPr>
          <w:rFonts w:hint="eastAsia" w:ascii="仿宋_GB2312" w:hAnsi="仿宋_GB2312" w:eastAsia="仿宋_GB2312" w:cs="仿宋_GB2312"/>
          <w:sz w:val="30"/>
          <w:szCs w:val="30"/>
        </w:rPr>
        <w:t>教育学硕士</w:t>
      </w:r>
      <w:r>
        <w:rPr>
          <w:rFonts w:hint="eastAsia" w:ascii="仿宋_GB2312" w:hAnsi="仿宋_GB2312" w:eastAsia="仿宋_GB2312" w:cs="仿宋_GB2312"/>
          <w:sz w:val="30"/>
          <w:szCs w:val="30"/>
          <w:cs/>
        </w:rPr>
        <w:t>”</w:t>
      </w:r>
      <w:r>
        <w:rPr>
          <w:rFonts w:hint="eastAsia" w:ascii="仿宋_GB2312" w:hAnsi="仿宋_GB2312" w:eastAsia="仿宋_GB2312" w:cs="仿宋_GB2312"/>
          <w:sz w:val="30"/>
          <w:szCs w:val="30"/>
        </w:rPr>
        <w:t>有区别，</w:t>
      </w:r>
      <w:r>
        <w:rPr>
          <w:rFonts w:hint="eastAsia" w:ascii="仿宋_GB2312" w:hAnsi="仿宋_GB2312" w:eastAsia="仿宋_GB2312" w:cs="仿宋_GB2312"/>
          <w:sz w:val="30"/>
          <w:szCs w:val="30"/>
          <w:cs/>
        </w:rPr>
        <w:t>“</w:t>
      </w:r>
      <w:r>
        <w:rPr>
          <w:rFonts w:hint="eastAsia" w:ascii="仿宋_GB2312" w:hAnsi="仿宋_GB2312" w:eastAsia="仿宋_GB2312" w:cs="仿宋_GB2312"/>
          <w:sz w:val="30"/>
          <w:szCs w:val="30"/>
        </w:rPr>
        <w:t>教育学硕士</w:t>
      </w:r>
      <w:r>
        <w:rPr>
          <w:rFonts w:hint="eastAsia" w:ascii="仿宋_GB2312" w:hAnsi="仿宋_GB2312" w:eastAsia="仿宋_GB2312" w:cs="仿宋_GB2312"/>
          <w:sz w:val="30"/>
          <w:szCs w:val="30"/>
          <w:cs/>
        </w:rPr>
        <w:t>”</w:t>
      </w:r>
      <w:r>
        <w:rPr>
          <w:rFonts w:hint="eastAsia" w:ascii="仿宋_GB2312" w:hAnsi="仿宋_GB2312" w:eastAsia="仿宋_GB2312" w:cs="仿宋_GB2312"/>
          <w:sz w:val="30"/>
          <w:szCs w:val="30"/>
        </w:rPr>
        <w:t>面向社会招生，很多专业都可以授予</w:t>
      </w:r>
      <w:r>
        <w:rPr>
          <w:rFonts w:hint="eastAsia" w:ascii="仿宋_GB2312" w:hAnsi="仿宋_GB2312" w:eastAsia="仿宋_GB2312" w:cs="仿宋_GB2312"/>
          <w:sz w:val="30"/>
          <w:szCs w:val="30"/>
          <w:cs/>
        </w:rPr>
        <w:t>“</w:t>
      </w:r>
      <w:r>
        <w:rPr>
          <w:rFonts w:hint="eastAsia" w:ascii="仿宋_GB2312" w:hAnsi="仿宋_GB2312" w:eastAsia="仿宋_GB2312" w:cs="仿宋_GB2312"/>
          <w:sz w:val="30"/>
          <w:szCs w:val="30"/>
        </w:rPr>
        <w:t>教育学硕士</w:t>
      </w:r>
      <w:r>
        <w:rPr>
          <w:rFonts w:hint="eastAsia" w:ascii="仿宋_GB2312" w:hAnsi="仿宋_GB2312" w:eastAsia="仿宋_GB2312" w:cs="仿宋_GB2312"/>
          <w:sz w:val="30"/>
          <w:szCs w:val="30"/>
          <w:cs/>
        </w:rPr>
        <w:t>”</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cs/>
        </w:rPr>
        <w:t>“</w:t>
      </w:r>
      <w:r>
        <w:rPr>
          <w:rFonts w:hint="eastAsia" w:ascii="仿宋_GB2312" w:hAnsi="仿宋_GB2312" w:eastAsia="仿宋_GB2312" w:cs="仿宋_GB2312"/>
          <w:sz w:val="30"/>
          <w:szCs w:val="30"/>
        </w:rPr>
        <w:t>教育硕士</w:t>
      </w:r>
      <w:r>
        <w:rPr>
          <w:rFonts w:hint="eastAsia" w:ascii="仿宋_GB2312" w:hAnsi="仿宋_GB2312" w:eastAsia="仿宋_GB2312" w:cs="仿宋_GB2312"/>
          <w:sz w:val="30"/>
          <w:szCs w:val="30"/>
          <w:cs/>
        </w:rPr>
        <w:t>”</w:t>
      </w:r>
      <w:r>
        <w:rPr>
          <w:rFonts w:hint="eastAsia" w:ascii="仿宋_GB2312" w:hAnsi="仿宋_GB2312" w:eastAsia="仿宋_GB2312" w:cs="仿宋_GB2312"/>
          <w:sz w:val="30"/>
          <w:szCs w:val="30"/>
        </w:rPr>
        <w:t>仅面向中小学教师招生）毕业，且申请任教学科与所学专业一致的，可按全日制师范生政策对待。全日制教育硕士无需提供入学当年招生计划表复印件。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（2）申请人为硕士研究生，本科学历为全日制师范教育类学历，申请任教学科与其师范类本科学历所学专业学科一致的，可按全日制师范生直接认定政策对待。</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、关于普通话证书认定的有关说明</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1.1999年以前师范院校师范教育类专业毕业生颁发的普通话水平合格证书为合格证书，之后毕业生持有的普通话水平等级证书均应显示等级。</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2.河南省2001年7月以后的普通话水平等级证书打印有效，手写视为不合格证书。</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3.外省语言文字部门颁发的普通话水平等级证书有效。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2" w:firstLineChars="200"/>
        <w:jc w:val="left"/>
        <w:rPr>
          <w:rStyle w:val="4"/>
          <w:rFonts w:hint="eastAsia" w:ascii="仿宋_GB2312" w:hAnsi="仿宋_GB2312" w:eastAsia="仿宋_GB2312" w:cs="仿宋_GB2312"/>
          <w:spacing w:val="0"/>
          <w:kern w:val="0"/>
          <w:sz w:val="30"/>
          <w:szCs w:val="30"/>
          <w:shd w:val="clear" w:fill="FFFFFF"/>
          <w:lang w:val="en-US" w:eastAsia="zh-CN" w:bidi="ar"/>
        </w:rPr>
      </w:pPr>
      <w:r>
        <w:rPr>
          <w:rStyle w:val="4"/>
          <w:rFonts w:hint="eastAsia" w:ascii="仿宋_GB2312" w:hAnsi="仿宋_GB2312" w:eastAsia="仿宋_GB2312" w:cs="仿宋_GB2312"/>
          <w:spacing w:val="0"/>
          <w:kern w:val="0"/>
          <w:sz w:val="30"/>
          <w:szCs w:val="30"/>
          <w:shd w:val="clear" w:fill="FFFFFF"/>
          <w:lang w:val="en-US" w:eastAsia="zh-CN" w:bidi="ar"/>
        </w:rPr>
        <w:t>五、关于学历认定的有关说明</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港澳台、</w:t>
      </w:r>
      <w:r>
        <w:rPr>
          <w:rFonts w:hint="eastAsia" w:ascii="仿宋_GB2312" w:hAnsi="仿宋_GB2312" w:eastAsia="仿宋_GB2312" w:cs="仿宋_GB2312"/>
          <w:spacing w:val="-4"/>
          <w:sz w:val="30"/>
          <w:szCs w:val="30"/>
        </w:rPr>
        <w:t>国外学历只认可学历学位层次，不符合全日制师范生直接认定政策。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02" w:firstLineChars="200"/>
        <w:jc w:val="left"/>
        <w:rPr>
          <w:rFonts w:hint="eastAsia" w:ascii="仿宋_GB2312" w:hAnsi="仿宋_GB2312" w:eastAsia="仿宋_GB2312" w:cs="仿宋_GB2312"/>
          <w:spacing w:val="0"/>
          <w:kern w:val="0"/>
          <w:sz w:val="30"/>
          <w:szCs w:val="30"/>
          <w:shd w:val="clear" w:fill="FFFFFF"/>
          <w:lang w:val="en-US" w:eastAsia="zh-CN" w:bidi="ar"/>
        </w:rPr>
      </w:pPr>
      <w:r>
        <w:rPr>
          <w:rStyle w:val="4"/>
          <w:rFonts w:hint="eastAsia" w:ascii="仿宋_GB2312" w:hAnsi="仿宋_GB2312" w:eastAsia="仿宋_GB2312" w:cs="仿宋_GB2312"/>
          <w:spacing w:val="0"/>
          <w:kern w:val="0"/>
          <w:sz w:val="30"/>
          <w:szCs w:val="30"/>
          <w:shd w:val="clear" w:fill="FFFFFF"/>
          <w:lang w:val="en-US" w:eastAsia="zh-CN" w:bidi="ar"/>
        </w:rPr>
        <w:t>六</w:t>
      </w:r>
      <w:bookmarkStart w:id="0" w:name="_GoBack"/>
      <w:bookmarkEnd w:id="0"/>
      <w:r>
        <w:rPr>
          <w:rStyle w:val="4"/>
          <w:rFonts w:hint="eastAsia" w:ascii="仿宋_GB2312" w:hAnsi="仿宋_GB2312" w:eastAsia="仿宋_GB2312" w:cs="仿宋_GB2312"/>
          <w:spacing w:val="0"/>
          <w:kern w:val="0"/>
          <w:sz w:val="30"/>
          <w:szCs w:val="30"/>
          <w:shd w:val="clear" w:fill="FFFFFF"/>
          <w:lang w:val="en-US" w:eastAsia="zh-CN" w:bidi="ar"/>
        </w:rPr>
        <w:t>、关于职称认定的有关说明</w:t>
      </w:r>
      <w:r>
        <w:rPr>
          <w:rFonts w:hint="eastAsia" w:ascii="仿宋_GB2312" w:hAnsi="仿宋_GB2312" w:eastAsia="仿宋_GB2312" w:cs="仿宋_GB2312"/>
          <w:spacing w:val="0"/>
          <w:kern w:val="0"/>
          <w:sz w:val="30"/>
          <w:szCs w:val="3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r>
        <w:rPr>
          <w:rFonts w:hint="eastAsia" w:ascii="仿宋_GB2312" w:hAnsi="仿宋_GB2312" w:eastAsia="仿宋_GB2312" w:cs="仿宋_GB2312"/>
          <w:spacing w:val="0"/>
          <w:kern w:val="0"/>
          <w:sz w:val="30"/>
          <w:szCs w:val="30"/>
          <w:shd w:val="clear" w:fill="FFFFFF"/>
          <w:lang w:val="en-US" w:eastAsia="zh-CN" w:bidi="ar"/>
        </w:rPr>
        <w:t>1.高等学校内聘教授、副教授岗位（本人不具有教授、副教授任职资格）的人员，不能作为直接认定条件；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jc w:val="left"/>
        <w:rPr>
          <w:rFonts w:hint="eastAsia" w:ascii="仿宋_GB2312" w:hAnsi="仿宋_GB2312" w:eastAsia="仿宋_GB2312" w:cs="仿宋_GB2312"/>
          <w:spacing w:val="0"/>
          <w:kern w:val="0"/>
          <w:sz w:val="30"/>
          <w:szCs w:val="30"/>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E7872"/>
    <w:rsid w:val="3C0E7760"/>
    <w:rsid w:val="48C519FD"/>
    <w:rsid w:val="545B77A9"/>
    <w:rsid w:val="58C00E40"/>
    <w:rsid w:val="7B1A79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333333"/>
      <w:u w:val="none"/>
    </w:rPr>
  </w:style>
  <w:style w:type="character" w:styleId="6">
    <w:name w:val="Emphasis"/>
    <w:basedOn w:val="3"/>
    <w:qFormat/>
    <w:uiPriority w:val="0"/>
  </w:style>
  <w:style w:type="character" w:styleId="7">
    <w:name w:val="Hyperlink"/>
    <w:basedOn w:val="3"/>
    <w:qFormat/>
    <w:uiPriority w:val="0"/>
    <w:rPr>
      <w:color w:val="333333"/>
      <w:u w:val="none"/>
    </w:rPr>
  </w:style>
  <w:style w:type="character" w:customStyle="1" w:styleId="8">
    <w:name w:val="hover24"/>
    <w:basedOn w:val="3"/>
    <w:qFormat/>
    <w:uiPriority w:val="0"/>
    <w:rPr>
      <w:shd w:val="clear" w:fill="FF0000"/>
    </w:rPr>
  </w:style>
  <w:style w:type="character" w:customStyle="1" w:styleId="9">
    <w:name w:val="on"/>
    <w:basedOn w:val="3"/>
    <w:qFormat/>
    <w:uiPriority w:val="0"/>
    <w:rPr>
      <w:shd w:val="clear" w:fill="FFFFFF"/>
    </w:rPr>
  </w:style>
  <w:style w:type="character" w:customStyle="1" w:styleId="10">
    <w:name w:val="disabled"/>
    <w:basedOn w:val="3"/>
    <w:qFormat/>
    <w:uiPriority w:val="0"/>
    <w:rPr>
      <w:color w:val="000000"/>
      <w:bdr w:val="single" w:color="2B66A5" w:sz="6" w:space="0"/>
      <w:shd w:val="clear" w:fill="FFFFE0"/>
    </w:rPr>
  </w:style>
  <w:style w:type="character" w:customStyle="1" w:styleId="11">
    <w:name w:val="current"/>
    <w:basedOn w:val="3"/>
    <w:qFormat/>
    <w:uiPriority w:val="0"/>
    <w:rPr>
      <w:b/>
      <w:color w:val="FFFFFF"/>
      <w:bdr w:val="single" w:color="000080" w:sz="6" w:space="0"/>
      <w:shd w:val="clear" w:fill="2E6AB1"/>
    </w:rPr>
  </w:style>
  <w:style w:type="character" w:customStyle="1" w:styleId="12">
    <w:name w:val="bsharetext"/>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CJQ</dc:creator>
  <cp:lastModifiedBy>暴   风</cp:lastModifiedBy>
  <dcterms:modified xsi:type="dcterms:W3CDTF">2019-04-15T07:10:00Z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