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华文仿宋" w:hAnsi="华文仿宋" w:eastAsia="华文仿宋" w:cs="华文仿宋"/>
          <w:b/>
          <w:sz w:val="32"/>
        </w:rPr>
      </w:pPr>
      <w:r>
        <w:rPr>
          <w:rFonts w:hint="eastAsia" w:ascii="华文仿宋" w:hAnsi="华文仿宋" w:eastAsia="华文仿宋" w:cs="华文仿宋"/>
          <w:b/>
          <w:sz w:val="32"/>
        </w:rPr>
        <w:t>附件2：</w:t>
      </w:r>
    </w:p>
    <w:p>
      <w:pPr>
        <w:spacing w:line="360" w:lineRule="auto"/>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高等学校实验室安全检查项目表（2018）</w:t>
      </w:r>
    </w:p>
    <w:p>
      <w:pPr>
        <w:spacing w:line="360" w:lineRule="auto"/>
        <w:jc w:val="center"/>
        <w:rPr>
          <w:rFonts w:ascii="华文中宋" w:hAnsi="华文中宋" w:eastAsia="华文中宋" w:cs="华文中宋"/>
          <w:b/>
          <w:bCs/>
          <w:sz w:val="36"/>
          <w:szCs w:val="36"/>
        </w:rPr>
      </w:pPr>
      <w:bookmarkStart w:id="0" w:name="_GoBack"/>
      <w:bookmarkEnd w:id="0"/>
    </w:p>
    <w:tbl>
      <w:tblPr>
        <w:tblStyle w:val="6"/>
        <w:tblpPr w:leftFromText="180" w:rightFromText="180" w:vertAnchor="text" w:horzAnchor="margin" w:tblpXSpec="center" w:tblpY="37"/>
        <w:tblW w:w="14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99"/>
        <w:gridCol w:w="2163"/>
        <w:gridCol w:w="6488"/>
        <w:gridCol w:w="832"/>
        <w:gridCol w:w="963"/>
        <w:gridCol w:w="104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vMerge w:val="restart"/>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序号</w:t>
            </w:r>
          </w:p>
        </w:tc>
        <w:tc>
          <w:tcPr>
            <w:tcW w:w="999" w:type="dxa"/>
            <w:vMerge w:val="restart"/>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编号</w:t>
            </w:r>
          </w:p>
        </w:tc>
        <w:tc>
          <w:tcPr>
            <w:tcW w:w="2163" w:type="dxa"/>
            <w:vMerge w:val="restart"/>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小类</w:t>
            </w:r>
            <w:r>
              <w:rPr>
                <w:rFonts w:asciiTheme="minorEastAsia" w:hAnsiTheme="minorEastAsia"/>
                <w:b/>
                <w:sz w:val="24"/>
                <w:szCs w:val="24"/>
              </w:rPr>
              <w:t>名称</w:t>
            </w:r>
          </w:p>
        </w:tc>
        <w:tc>
          <w:tcPr>
            <w:tcW w:w="6488" w:type="dxa"/>
            <w:vMerge w:val="restart"/>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检查</w:t>
            </w:r>
            <w:r>
              <w:rPr>
                <w:rFonts w:asciiTheme="minorEastAsia" w:hAnsiTheme="minorEastAsia"/>
                <w:b/>
                <w:sz w:val="24"/>
                <w:szCs w:val="24"/>
              </w:rPr>
              <w:t>项目</w:t>
            </w:r>
          </w:p>
        </w:tc>
        <w:tc>
          <w:tcPr>
            <w:tcW w:w="832" w:type="dxa"/>
            <w:vMerge w:val="restart"/>
            <w:shd w:val="clear" w:color="auto" w:fill="auto"/>
            <w:tcMar>
              <w:left w:w="45" w:type="dxa"/>
              <w:right w:w="45" w:type="dxa"/>
            </w:tcMar>
            <w:vAlign w:val="center"/>
          </w:tcPr>
          <w:p>
            <w:pPr>
              <w:spacing w:line="320" w:lineRule="exact"/>
              <w:jc w:val="center"/>
              <w:rPr>
                <w:rFonts w:asciiTheme="minorEastAsia" w:hAnsiTheme="minorEastAsia"/>
                <w:b/>
                <w:sz w:val="24"/>
                <w:szCs w:val="24"/>
              </w:rPr>
            </w:pPr>
            <w:r>
              <w:rPr>
                <w:rFonts w:hint="eastAsia" w:asciiTheme="minorEastAsia" w:hAnsiTheme="minorEastAsia"/>
                <w:b/>
                <w:sz w:val="24"/>
                <w:szCs w:val="24"/>
              </w:rPr>
              <w:t>条款</w:t>
            </w:r>
          </w:p>
          <w:p>
            <w:pPr>
              <w:spacing w:line="320" w:lineRule="exact"/>
              <w:jc w:val="center"/>
              <w:rPr>
                <w:rFonts w:asciiTheme="minorEastAsia" w:hAnsiTheme="minorEastAsia"/>
                <w:b/>
                <w:sz w:val="24"/>
                <w:szCs w:val="24"/>
              </w:rPr>
            </w:pPr>
            <w:r>
              <w:rPr>
                <w:rFonts w:hint="eastAsia" w:asciiTheme="minorEastAsia" w:hAnsiTheme="minorEastAsia"/>
                <w:b/>
                <w:sz w:val="24"/>
                <w:szCs w:val="24"/>
              </w:rPr>
              <w:t>等级</w:t>
            </w:r>
          </w:p>
        </w:tc>
        <w:tc>
          <w:tcPr>
            <w:tcW w:w="3048" w:type="dxa"/>
            <w:gridSpan w:val="3"/>
          </w:tcPr>
          <w:p>
            <w:pPr>
              <w:spacing w:line="320" w:lineRule="exact"/>
              <w:jc w:val="center"/>
              <w:rPr>
                <w:rFonts w:hint="eastAsia" w:asciiTheme="minorEastAsia" w:hAnsiTheme="minorEastAsia"/>
                <w:b/>
                <w:sz w:val="24"/>
                <w:szCs w:val="24"/>
              </w:rPr>
            </w:pPr>
            <w:r>
              <w:rPr>
                <w:rFonts w:hint="eastAsia" w:asciiTheme="minorEastAsia" w:hAnsiTheme="minorEastAsia"/>
                <w:b/>
                <w:sz w:val="24"/>
                <w:szCs w:val="24"/>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vMerge w:val="continue"/>
            <w:shd w:val="clear" w:color="auto" w:fill="auto"/>
            <w:tcMar>
              <w:left w:w="45" w:type="dxa"/>
              <w:right w:w="45" w:type="dxa"/>
            </w:tcMar>
            <w:vAlign w:val="center"/>
          </w:tcPr>
          <w:p>
            <w:pPr>
              <w:spacing w:line="320" w:lineRule="exact"/>
              <w:jc w:val="center"/>
              <w:rPr>
                <w:rFonts w:hint="eastAsia" w:asciiTheme="minorEastAsia" w:hAnsiTheme="minorEastAsia"/>
                <w:b/>
                <w:sz w:val="24"/>
                <w:szCs w:val="24"/>
              </w:rPr>
            </w:pPr>
          </w:p>
        </w:tc>
        <w:tc>
          <w:tcPr>
            <w:tcW w:w="999" w:type="dxa"/>
            <w:vMerge w:val="continue"/>
            <w:shd w:val="clear" w:color="auto" w:fill="auto"/>
            <w:tcMar>
              <w:left w:w="45" w:type="dxa"/>
              <w:right w:w="45" w:type="dxa"/>
            </w:tcMar>
            <w:vAlign w:val="center"/>
          </w:tcPr>
          <w:p>
            <w:pPr>
              <w:spacing w:line="320" w:lineRule="exact"/>
              <w:jc w:val="center"/>
              <w:rPr>
                <w:rFonts w:hint="eastAsia" w:asciiTheme="minorEastAsia" w:hAnsiTheme="minorEastAsia"/>
                <w:b/>
                <w:sz w:val="24"/>
                <w:szCs w:val="24"/>
              </w:rPr>
            </w:pPr>
          </w:p>
        </w:tc>
        <w:tc>
          <w:tcPr>
            <w:tcW w:w="2163" w:type="dxa"/>
            <w:vMerge w:val="continue"/>
            <w:shd w:val="clear" w:color="auto" w:fill="auto"/>
            <w:tcMar>
              <w:left w:w="45" w:type="dxa"/>
              <w:right w:w="45" w:type="dxa"/>
            </w:tcMar>
            <w:vAlign w:val="center"/>
          </w:tcPr>
          <w:p>
            <w:pPr>
              <w:spacing w:line="320" w:lineRule="exact"/>
              <w:jc w:val="center"/>
              <w:rPr>
                <w:rFonts w:hint="eastAsia" w:asciiTheme="minorEastAsia" w:hAnsiTheme="minorEastAsia"/>
                <w:b/>
                <w:sz w:val="24"/>
                <w:szCs w:val="24"/>
              </w:rPr>
            </w:pPr>
          </w:p>
        </w:tc>
        <w:tc>
          <w:tcPr>
            <w:tcW w:w="6488" w:type="dxa"/>
            <w:vMerge w:val="continue"/>
            <w:shd w:val="clear" w:color="auto" w:fill="auto"/>
            <w:tcMar>
              <w:left w:w="45" w:type="dxa"/>
              <w:right w:w="45" w:type="dxa"/>
            </w:tcMar>
            <w:vAlign w:val="center"/>
          </w:tcPr>
          <w:p>
            <w:pPr>
              <w:spacing w:line="320" w:lineRule="exact"/>
              <w:jc w:val="center"/>
              <w:rPr>
                <w:rFonts w:hint="eastAsia" w:asciiTheme="minorEastAsia" w:hAnsiTheme="minorEastAsia"/>
                <w:b/>
                <w:sz w:val="24"/>
                <w:szCs w:val="24"/>
              </w:rPr>
            </w:pPr>
          </w:p>
        </w:tc>
        <w:tc>
          <w:tcPr>
            <w:tcW w:w="832" w:type="dxa"/>
            <w:vMerge w:val="continue"/>
            <w:shd w:val="clear" w:color="auto" w:fill="auto"/>
            <w:tcMar>
              <w:left w:w="45" w:type="dxa"/>
              <w:right w:w="45" w:type="dxa"/>
            </w:tcMar>
            <w:vAlign w:val="center"/>
          </w:tcPr>
          <w:p>
            <w:pPr>
              <w:spacing w:line="320" w:lineRule="exact"/>
              <w:jc w:val="center"/>
              <w:rPr>
                <w:rFonts w:hint="eastAsia" w:asciiTheme="minorEastAsia" w:hAnsiTheme="minorEastAsia"/>
                <w:b/>
                <w:sz w:val="24"/>
                <w:szCs w:val="24"/>
              </w:rPr>
            </w:pPr>
          </w:p>
        </w:tc>
        <w:tc>
          <w:tcPr>
            <w:tcW w:w="963" w:type="dxa"/>
          </w:tcPr>
          <w:p>
            <w:pPr>
              <w:spacing w:line="320" w:lineRule="exact"/>
              <w:jc w:val="center"/>
              <w:rPr>
                <w:rFonts w:hint="eastAsia" w:asciiTheme="minorEastAsia" w:hAnsiTheme="minorEastAsia"/>
                <w:b/>
                <w:sz w:val="24"/>
                <w:szCs w:val="24"/>
              </w:rPr>
            </w:pPr>
            <w:r>
              <w:rPr>
                <w:rFonts w:hint="eastAsia" w:asciiTheme="minorEastAsia" w:hAnsiTheme="minorEastAsia"/>
                <w:b/>
                <w:sz w:val="24"/>
                <w:szCs w:val="24"/>
              </w:rPr>
              <w:t>符合</w:t>
            </w:r>
          </w:p>
        </w:tc>
        <w:tc>
          <w:tcPr>
            <w:tcW w:w="1042" w:type="dxa"/>
          </w:tcPr>
          <w:p>
            <w:pPr>
              <w:spacing w:line="320" w:lineRule="exact"/>
              <w:jc w:val="center"/>
              <w:rPr>
                <w:rFonts w:hint="eastAsia" w:asciiTheme="minorEastAsia" w:hAnsiTheme="minorEastAsia"/>
                <w:b/>
                <w:sz w:val="24"/>
                <w:szCs w:val="24"/>
              </w:rPr>
            </w:pPr>
            <w:r>
              <w:rPr>
                <w:rFonts w:hint="eastAsia" w:asciiTheme="minorEastAsia" w:hAnsiTheme="minorEastAsia"/>
                <w:b/>
                <w:sz w:val="24"/>
                <w:szCs w:val="24"/>
              </w:rPr>
              <w:t>不符合</w:t>
            </w:r>
          </w:p>
        </w:tc>
        <w:tc>
          <w:tcPr>
            <w:tcW w:w="1043" w:type="dxa"/>
          </w:tcPr>
          <w:p>
            <w:pPr>
              <w:spacing w:line="320" w:lineRule="exact"/>
              <w:jc w:val="center"/>
              <w:rPr>
                <w:rFonts w:hint="eastAsia" w:asciiTheme="minorEastAsia" w:hAnsiTheme="minorEastAsia"/>
                <w:b/>
                <w:sz w:val="24"/>
                <w:szCs w:val="24"/>
              </w:rPr>
            </w:pPr>
            <w:r>
              <w:rPr>
                <w:rFonts w:hint="eastAsia" w:asciiTheme="minorEastAsia" w:hAnsiTheme="minorEastAsia"/>
                <w:b/>
                <w:sz w:val="24"/>
                <w:szCs w:val="24"/>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hint="eastAsia"/>
                <w:sz w:val="24"/>
                <w:szCs w:val="24"/>
              </w:rPr>
              <w:t>1.1.1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学校层面安全责任体系</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有校级实验室安全工作领导机构，由校领导作为负责人，相关职能部门参与，设办公室</w:t>
            </w:r>
          </w:p>
        </w:tc>
        <w:tc>
          <w:tcPr>
            <w:tcW w:w="832"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1.1.2</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学校层面安全责任体系</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有处级职能部门主管实验室技术安全工作，下设实验室安全管理科室（3万学生规模以上且仪器设备总值超过3亿元的学校），或有专职的实验室安全管理人员</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2.1.1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校级层面实验室安全管理制度</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有实验室技术安全管理办法</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8.1.2</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危险化学品采购、验收、发放</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剧毒品、易制毒品、易制爆品、爆炸品购买前须经学校审批，报公安部门批准或备案后，向具有经营许可资质的单位购买。校职能部门保留资料、建立档案。不得私自从外单位获取管控化学品</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9.3.6</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病原微生物采购与保管</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自行分离高致病性病原微生物，必须在相应安全等级的实验室中进行，并报卫生或农业主管部门批准，方可保存和开展实验，资料报学校备案</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1.1.5</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学校层面安全责任体系</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各级主管实验室安全的负责人到岗一年内参与了实验室安全培训，有培训证书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1.2.1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院级层面安全责任体系</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成立实验室安全领导小组，由党/政主要领导作为负责人，研究所、中心、教研室、实验室等负责人参加。分管实验室领导主管实验室安全</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2.1.3</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校级层面实验室安全管理制度</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有实验室安全检查制度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2.1.4</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校级层面实验室安全管理制度</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有实验室安全教育与实验室准入制度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10</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Cs w:val="21"/>
              </w:rPr>
              <w:t>2.1.7</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校级层面实验室安全管理制度</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color w:val="000000"/>
                <w:szCs w:val="21"/>
              </w:rPr>
              <w:t>有实验室突发事件应急预案（包括化学、生物、辐射、电气、机械等分类）</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安全教育活动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开设合适的实验室安全必修课或选修课</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12</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3.2.1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实验室安全考试系统</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建立了实验室安全知识考试系统，具有学习与考试功能</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危险源辨识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学校、学院层面建立了实验室安全危险源清单，内容包括涉及单位、房间、类别、数量、责任人等信息</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4.1.3</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危险源辨识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涉及剧毒品、病原微生物、放射性同位素、强磁等高危场所，具备符合要求的软硬件设施，并有明显的警示标识</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4.3.3</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隐患整改</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如有重大隐患，实验室应立即停止实验活动，采取相应防范措施或整改完成后方能恢复实验</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16</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6.4.1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门禁监控</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在剧毒品、病原微生物，特种设备和放射源存放点等重点场所安装门禁和监控设施，运转正常，有专人管理</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8.4.1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剧毒品管理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配备专门的保险柜并固定，实行双人双锁保管；对于具有高挥发性、低闪点的剧毒品应存放在具有防爆功能的冰箱内，并配备双锁；配备监控与报警装置</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18</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8.4.2</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剧毒品管理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执行双人收发、双人运输；应严格记录品种、规格以及购入、发放、退回的日期、单位及经手人、数量以及结存数量</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19</w:t>
            </w:r>
          </w:p>
        </w:tc>
        <w:tc>
          <w:tcPr>
            <w:tcW w:w="999" w:type="dxa"/>
            <w:shd w:val="clear" w:color="auto" w:fill="auto"/>
            <w:tcMar>
              <w:left w:w="45" w:type="dxa"/>
              <w:right w:w="45" w:type="dxa"/>
            </w:tcMar>
            <w:vAlign w:val="center"/>
          </w:tcPr>
          <w:p>
            <w:pPr>
              <w:spacing w:line="320" w:lineRule="exact"/>
              <w:rPr>
                <w:color w:val="000000"/>
                <w:sz w:val="24"/>
                <w:szCs w:val="24"/>
              </w:rPr>
            </w:pPr>
            <w:r>
              <w:rPr>
                <w:rFonts w:ascii="Times New Roman" w:hAnsi="Times New Roman" w:cs="Times New Roman"/>
                <w:color w:val="000000"/>
                <w:sz w:val="24"/>
                <w:szCs w:val="24"/>
              </w:rPr>
              <w:t>8.4.3</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剧毒品管理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使用时有两人同时在场，且计量取用后立即放回保险柜，详细记载用途，双人签字</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20</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其它管控化学品管理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易制毒品分类存放、专人保管，做好领取、使用、处置记录；其中第一类易制毒品实行“五双”管理制度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21</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8.5.3</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其它管控化学品管理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爆炸品单独隔离，限量存储，使用、销毁按照公安部门的要求执行</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22</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bCs/>
                <w:color w:val="000000"/>
                <w:szCs w:val="21"/>
              </w:rPr>
              <w:t>实验气体管理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从合格供应商处采购实验气体，建立气体钢瓶台帐</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8.6.3</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实验气体管理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涉及剧毒、易燃易爆气体的场所，配有通风设施和合适的监控报警装置等，张贴必要的安全警示标识</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化学废弃物管理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与有资质的处置单位（企业）签约处置化学废弃物</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9.1.1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实验室资质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开展病原微生物实验研究的实验室，须具备相应的安全等级资质。其中BSL-3/ABSL-3、BSL-4/ABSL-4实验室须经政府部门批准建设；BSL-1/ ABSL-1、BSL-2/ ABSL-2 实验室由学校建设后报政府卫生或农业部门备案</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26</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9.1.3</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实验室资质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开展未经灭活的高致病性病原微生物（列入一类、二类）相关实验和研究，必须在BSL-3/ABSL-3、BSL-4/ABSL-4实验室中进行</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9.1.4</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实验室资质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开展低致病性病原微生物（列入三类、四类），或经灭活的高致病性感染性材料的相关实验和研究，必须在BSL-1/ ABSL-1、BSL-2/ ABSL-2或以上等级实验室中进行</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28</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病原微生物采购与保管</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采购高致病性病原微生物菌（毒）种，须按照学校流程审批，报行业主管部门批准</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29</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9.7.5</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生物实验废物处置</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涉及病原微生物的实验废弃物必须进行高温高压灭菌或化学浸泡处理，并有处置的记录。高致病性生物材料废弃物处置实现溯源追踪</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30</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实验室资质与人员要求</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涉源学校须取得“辐射安全许可证”，并按规定在放射性核素种类和用量以及射线种类许可范围内开展实验</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31</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1.1.4</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szCs w:val="21"/>
              </w:rPr>
              <w:t>学校层面安全责任体系</w:t>
            </w:r>
          </w:p>
        </w:tc>
        <w:tc>
          <w:tcPr>
            <w:tcW w:w="6488"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color w:val="000000"/>
                <w:szCs w:val="21"/>
              </w:rPr>
              <w:t>学校与院系签订实验室安全管理责任书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32</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1.3</w:t>
            </w:r>
            <w:r>
              <w:rPr>
                <w:rFonts w:ascii="Times New Roman" w:hAnsi="Times New Roman" w:cs="Times New Roman"/>
                <w:color w:val="00B0F0"/>
                <w:sz w:val="24"/>
                <w:szCs w:val="24"/>
              </w:rPr>
              <w:t>.</w:t>
            </w:r>
            <w:r>
              <w:rPr>
                <w:rFonts w:ascii="Times New Roman" w:hAnsi="Times New Roman" w:cs="Times New Roman"/>
                <w:color w:val="000000"/>
                <w:sz w:val="24"/>
                <w:szCs w:val="24"/>
              </w:rPr>
              <w:t>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经费保障</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学校每年有实验室安全常规经费预算</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33</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1.4.2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其它</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管理部门建立了完整的实验室安全工作档案，包括责任体系、队伍建设、安全制度、奖惩、教育培训、安全检查、隐患整改、事故调查与处理、专业安全、其它相关的常规或阶段性工作归档资料等</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34</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2.1.2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szCs w:val="21"/>
              </w:rPr>
              <w:t>校级层面实验室安全管理制度</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有实验室安全奖励与责任追究制度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35</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2.2.3</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院系层面的安全管理制度</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涉及安全隐患的设备（如大型仪器、高温、高速、高压、强磁、低温等设备）有安全操作规程，并明示</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36</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2.2.4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院系层面的安全管理制度</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危险性实验、工艺有实验指导书或操作规程（含安全注意事项），并明示</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2.2.5</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院系层面的安全管理制度</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建立了危险性实验风险评估与准入机制</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38</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3.1.2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安全教育活动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每年开展全校教工和学生安全教育培训活动，有记录</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39</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实验室安全考试系统</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每年组织新教工、本科生和研究生新生学习与考试，通过者发放合格证</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40</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安全文化</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编印实验室安全手册并发放到每一位师生，承诺书归档</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41</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4.3.1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隐患整改</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对于检查中发现的问题，有合适的方式通知被查实验室相关负责人及院系（如网上公示、整改通知书等），并规范存档</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42</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隐患整改</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院系落实问题隐患的整改，整改报告在规定时间内提交学校管理部门，并归档</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安全报告</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学校有公示的安全检查通报（定期/不定期）</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场所环境</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超过200平方米的实验楼层应具有至少两处紧急出口，75平方米以上实验室要有两扇门</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场所环境</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每个房间门口挂有安全信息牌，信息包括安全责任人、涉及危险类别、防护措施和有效的应急联系电话等，并及时更新</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46</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5.1.4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场所环境</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实验室消防通道通畅，公共场所、通道不堆放仪器、物品</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场所环境</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所有房间均须有应急备用钥匙，集中存放、专人管理，应急时方便取用</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48</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5.1.9</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场所环境</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实验室内不得随意搭建阁楼，操作区层高不低于2米</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49</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5.3.1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卫生与日常管理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有毒有害实验区与学习区明确分开，布局合理；实验区不准饮食</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50</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5.3.2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卫生与日常管理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实验室物品摆放有序，卫生状况良好；实验完毕物品归位</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51</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场所其它安全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危险性实验室配备了急救药箱，药箱不上锁、药品在保质期内</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52</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场所其它安全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实验室内不存放或烧煮食物、饮食，无吸烟现象</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6.1.2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消防设施</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灭火器在有效期内（压力指针位置正常等），安全销（拉针）正常，瓶身无破损、腐蚀</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6.2.1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应急喷淋与洗眼装置</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存在可能受到化学和生物伤害的实验区域，需配置应急喷淋和洗眼装置，走廊有显著引导标识</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6.3.1.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通风系统</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有需要的实验场所配备符合要求的通风系统，管道风机需防腐，使用可燃气体场所应采用防爆风机</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56</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6.3.3</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通风系统</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根据需要在通风橱管路上安装有毒有害气体的吸附或处理装置（如活性炭、光催化分解、水喷淋等）</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hint="eastAsia"/>
                <w:color w:val="000000"/>
                <w:sz w:val="24"/>
                <w:szCs w:val="24"/>
              </w:rPr>
              <w:t>6.5.1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实验室防爆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防爆实验室需符合防爆设计要求，安装防爆开关、防爆灯等，安装必要的气体报警系统、监控系统及断电断水应急系统等</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58</w:t>
            </w:r>
          </w:p>
        </w:tc>
        <w:tc>
          <w:tcPr>
            <w:tcW w:w="999" w:type="dxa"/>
            <w:shd w:val="clear" w:color="auto" w:fill="auto"/>
            <w:tcMar>
              <w:left w:w="45" w:type="dxa"/>
              <w:right w:w="45" w:type="dxa"/>
            </w:tcMar>
            <w:vAlign w:val="center"/>
          </w:tcPr>
          <w:p>
            <w:pPr>
              <w:spacing w:line="320" w:lineRule="exact"/>
              <w:rPr>
                <w:rFonts w:asciiTheme="minorEastAsia" w:hAnsiTheme="minorEastAsia"/>
                <w:sz w:val="24"/>
                <w:szCs w:val="24"/>
              </w:rPr>
            </w:pPr>
            <w:r>
              <w:rPr>
                <w:rFonts w:ascii="Times New Roman" w:hAnsi="Times New Roman" w:cs="Times New Roman"/>
                <w:color w:val="000000"/>
                <w:sz w:val="24"/>
                <w:szCs w:val="24"/>
              </w:rPr>
              <w:t>7.1.1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用电基础安全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实验室电容量、插头插座与用电设备功率需匹配，不得私自改装；电源插座须固定</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59</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7.1.4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用电基础安全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禁止多个接线板串接供电，接线板不宜直接置于地面</w:t>
            </w:r>
          </w:p>
        </w:tc>
        <w:tc>
          <w:tcPr>
            <w:tcW w:w="832" w:type="dxa"/>
            <w:shd w:val="clear" w:color="auto" w:fill="auto"/>
            <w:tcMar>
              <w:left w:w="45" w:type="dxa"/>
              <w:right w:w="45" w:type="dxa"/>
            </w:tcMar>
            <w:vAlign w:val="center"/>
          </w:tcPr>
          <w:p>
            <w:pPr>
              <w:spacing w:line="320" w:lineRule="exact"/>
              <w:jc w:val="center"/>
              <w:rPr>
                <w:sz w:val="24"/>
                <w:szCs w:val="24"/>
              </w:rPr>
            </w:pPr>
          </w:p>
        </w:tc>
        <w:tc>
          <w:tcPr>
            <w:tcW w:w="963" w:type="dxa"/>
          </w:tcPr>
          <w:p>
            <w:pPr>
              <w:spacing w:line="320" w:lineRule="exact"/>
              <w:jc w:val="center"/>
              <w:rPr>
                <w:sz w:val="24"/>
                <w:szCs w:val="24"/>
              </w:rPr>
            </w:pPr>
          </w:p>
        </w:tc>
        <w:tc>
          <w:tcPr>
            <w:tcW w:w="1042" w:type="dxa"/>
          </w:tcPr>
          <w:p>
            <w:pPr>
              <w:spacing w:line="320" w:lineRule="exact"/>
              <w:jc w:val="center"/>
              <w:rPr>
                <w:sz w:val="24"/>
                <w:szCs w:val="24"/>
              </w:rPr>
            </w:pPr>
          </w:p>
        </w:tc>
        <w:tc>
          <w:tcPr>
            <w:tcW w:w="1043" w:type="dxa"/>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60</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7.1.11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用电基础安全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插座、插头、接线板为国家质量认证的合格产品，无烧焦变形、破损现象</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1</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7.2.2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用水安全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各类连接管无老化破损（特别是冷却冷凝系统的橡胶管接口处）</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62</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个人防护</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按需要佩戴防护眼镜（如进行化学实验、有危险的机械操作等）</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个人防护</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特殊场所按需佩戴安全帽、防护帽，长发不散露在外。操作机床等旋转设备时，不穿戴长围巾、丝巾、领带等</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个人防护</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按需要佩戴防护手套（涉及不同的有害化学物质、病原微生物、高温和低温等），并正确选择不同种类和材质的手套</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7.3.6</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个人防护</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在特殊的实验室配备和使用呼吸器或面罩（如有挥发性毒物、溅射危险等），并正确选择种类；呼吸器或面罩在有效期内，不用时须密封放置</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66</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其它</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危险性实验（如高温、高压、高速运转等）时必须有两人在场</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7.4.2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其它</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实验时不能脱岗，通宵实验须两人在场并有事先审批制度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68</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其它</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实验结束后物品归位，保持桌面整洁</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69</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8.1.1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危险化学品采购、验收、发放</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一般危险化学品要向具有危化品生产经营许可资质的单位购买</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70</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实验室化学试剂存放</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有实验室内化学品的动态使用台帐；建立本实验室危险化学品目录，并有危险化学品安全技术说明书（MSDS）或安全周知卡，方便查阅</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71</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实验室化学试剂存放</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实验室内存放的危险化学品总量原则上不应超过100L或100kg，其中易燃易爆性化学品的存放总量不应超过50L 或50kg，且单一包装容器不应大于20L或20kg</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72</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8.2.6</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实验室化学试剂存放</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实验操作安全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制定危险实验、危险化工工艺指导书，上墙或便于取阅；按照指导书进行实验</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8.3.3</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实验操作安全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建立针对特殊危险实验的应急预案，方便取阅；实验人员熟悉所涉及的危险性及应急处理措施</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其它管控化学品管理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易制爆品分类存放、专人保管，做好领取、使用、处置记录</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76</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其它管控化学品管理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麻醉品和精神类药品储存于专门的保险柜中，有规范的领取、使用、处置台账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8.6.7</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bCs/>
                <w:color w:val="000000"/>
                <w:szCs w:val="21"/>
              </w:rPr>
              <w:t>实验气体管理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氧气等助燃气体不混放可燃性气体与</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78</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8.6.8</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bCs/>
                <w:color w:val="000000"/>
                <w:szCs w:val="21"/>
              </w:rPr>
              <w:t>实验气体管理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气体管路连接正确、有标识，管路材质选择合适，无破损或老化现象，定期进行气体泄漏检查；存在多条气体管路的房间须张贴详细的管路图</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79</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8.6.10</w:t>
            </w:r>
          </w:p>
        </w:tc>
        <w:tc>
          <w:tcPr>
            <w:tcW w:w="2163" w:type="dxa"/>
            <w:shd w:val="clear" w:color="auto" w:fill="auto"/>
            <w:tcMar>
              <w:left w:w="45" w:type="dxa"/>
              <w:right w:w="45" w:type="dxa"/>
            </w:tcMar>
            <w:vAlign w:val="center"/>
          </w:tcPr>
          <w:p>
            <w:pPr>
              <w:spacing w:line="320" w:lineRule="exact"/>
              <w:rPr>
                <w:rFonts w:ascii="宋体" w:hAnsi="宋体" w:eastAsia="宋体" w:cs="宋体"/>
                <w:bCs/>
                <w:color w:val="000000"/>
                <w:szCs w:val="21"/>
              </w:rPr>
            </w:pPr>
            <w:r>
              <w:rPr>
                <w:rFonts w:hint="eastAsia" w:ascii="宋体" w:hAnsi="宋体" w:eastAsia="宋体" w:cs="宋体"/>
                <w:bCs/>
                <w:color w:val="000000"/>
                <w:szCs w:val="21"/>
              </w:rPr>
              <w:t>实验气体管理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无大量气体钢瓶堆放现象；每间实验室内存放的氧气和可燃气体不宜超过一瓶，其他气瓶的存放，应控制在最小需求量；气体钢瓶不得放在走廊、大厅等公共场所</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80</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8.7.2</w:t>
            </w:r>
          </w:p>
        </w:tc>
        <w:tc>
          <w:tcPr>
            <w:tcW w:w="2163" w:type="dxa"/>
            <w:shd w:val="clear" w:color="auto" w:fill="auto"/>
            <w:tcMar>
              <w:left w:w="45" w:type="dxa"/>
              <w:right w:w="45" w:type="dxa"/>
            </w:tcMar>
            <w:vAlign w:val="center"/>
          </w:tcPr>
          <w:p>
            <w:pPr>
              <w:spacing w:line="320" w:lineRule="exact"/>
              <w:rPr>
                <w:rFonts w:ascii="宋体" w:hAnsi="宋体" w:eastAsia="宋体" w:cs="宋体"/>
                <w:bCs/>
                <w:color w:val="000000"/>
                <w:szCs w:val="21"/>
              </w:rPr>
            </w:pPr>
            <w:r>
              <w:rPr>
                <w:rFonts w:hint="eastAsia" w:ascii="宋体" w:hAnsi="宋体" w:eastAsia="宋体" w:cs="宋体"/>
                <w:color w:val="000000"/>
                <w:szCs w:val="21"/>
              </w:rPr>
              <w:t>化学废弃物管理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学校有统一的化学实验废弃物标签，包含废物类别、危险特性、主要成分、产生部门、送储人、日期等信息</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81</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8.8.1</w:t>
            </w:r>
          </w:p>
        </w:tc>
        <w:tc>
          <w:tcPr>
            <w:tcW w:w="2163" w:type="dxa"/>
            <w:shd w:val="clear" w:color="auto" w:fill="auto"/>
            <w:tcMar>
              <w:left w:w="45" w:type="dxa"/>
              <w:right w:w="45" w:type="dxa"/>
            </w:tcMar>
            <w:vAlign w:val="center"/>
          </w:tcPr>
          <w:p>
            <w:pPr>
              <w:spacing w:line="320" w:lineRule="exact"/>
              <w:rPr>
                <w:rFonts w:ascii="宋体" w:hAnsi="宋体" w:eastAsia="宋体" w:cs="宋体"/>
                <w:bCs/>
                <w:color w:val="000000"/>
                <w:szCs w:val="21"/>
              </w:rPr>
            </w:pPr>
            <w:r>
              <w:rPr>
                <w:rFonts w:hint="eastAsia" w:ascii="宋体" w:hAnsi="宋体" w:eastAsia="宋体" w:cs="宋体"/>
                <w:color w:val="000000"/>
                <w:szCs w:val="21"/>
              </w:rPr>
              <w:t>危化品仓库与废弃物中转站</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学校有危险品仓库、化学实验废弃物中转站，须有通风、隔热、避光、防盗、防爆、防静电、泄露报警、应急喷淋、安全警示标识等管控措施，符合相关规定，专人管理</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82</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其它化学安全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学校有统一的试剂标签（用于配置试剂、合成品、样品等），信息包括名称、浓度、责任人、日期、储存条件等</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其它化学安全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无使用饮料瓶存放试剂、样品的现象。如确需存放，必须撕去原包装纸，贴上统一的试剂标签</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8.9.6</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其它化学安全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用于浸泡玻璃器皿的酸缸、碱缸等有盖子盖上、标签明确</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9.2.3</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场所与设施</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储存病原微生物的场所或储柜配备防盗设施，并安装监控报警装置</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86</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9.3.3</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szCs w:val="21"/>
              </w:rPr>
              <w:t>病原微生物采购与保管</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高致病性病原微生物的转移和运输需按规定报卫生和农业主管部门批准，并按相应的运输包装要求包装后转移和运输</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szCs w:val="21"/>
              </w:rPr>
              <w:t>病原微生物采购与保管</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病原微生物菌（毒）种保存在带锁冰箱或柜子中，高致病性病原微生物实行双人双锁管理</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88</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9.3.5</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szCs w:val="21"/>
              </w:rPr>
              <w:t>病原微生物采购与保管</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有病原微生物菌（毒）种保存、实验使用、销毁的记录</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89</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9.4.1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人员管理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开展病原微生物相关实验和研究的人员经过专业培训，考核合格，并取得证书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90</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9.5.2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操作管理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BSL-2 /ABSL-2及以上等级实验室，开展病原微生物的相关实验活动应有风险评估和应急预案，包括病原微生物及感染材料溢出和意外事故的书面操作程序</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91</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实验动物安全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饲养实验动物的场所应有资质证书</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92</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9.6.2</w:t>
            </w:r>
          </w:p>
        </w:tc>
        <w:tc>
          <w:tcPr>
            <w:tcW w:w="2163" w:type="dxa"/>
            <w:shd w:val="clear" w:color="auto" w:fill="auto"/>
            <w:tcMar>
              <w:left w:w="45" w:type="dxa"/>
              <w:right w:w="45" w:type="dxa"/>
            </w:tcMar>
            <w:vAlign w:val="center"/>
          </w:tcPr>
          <w:p>
            <w:pPr>
              <w:spacing w:line="320" w:lineRule="exact"/>
              <w:rPr>
                <w:rFonts w:ascii="宋体" w:hAnsi="宋体" w:eastAsia="宋体" w:cs="宋体"/>
                <w:szCs w:val="21"/>
              </w:rPr>
            </w:pPr>
            <w:r>
              <w:rPr>
                <w:rFonts w:hint="eastAsia" w:ascii="宋体" w:hAnsi="宋体" w:eastAsia="宋体" w:cs="宋体"/>
                <w:color w:val="000000"/>
                <w:szCs w:val="21"/>
              </w:rPr>
              <w:t>实验动物安全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实验动物需从具有资质的单位购买，有合格证明</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生物实验废物处置</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学校与有资质的单位签约处置生化废弃物，有交接记录</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生物实验废物处置</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配备了生化实验废弃物垃圾桶（一般内置黄色塑料袋），有标签；刀片、移液枪头等尖锐物应使用耐扎的利器盒/纸板箱盛放，送储时再装入黄色塑料袋，贴好标签。</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10.1.5</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实验室资质与人员要求</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涉源人员进入实验场所须佩带个人剂量计；委托有资质单位按时进行剂量检测（3个月一次），有合格的个人剂量检测报告。剂量计平时不能放在实验室场所</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96</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10.2.4</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场所与设施</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涉源实验场所每年有合格的实验场所检测报告</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10.5.1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放射性实验废弃物的处置</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报废含有放射源或可产生放射性的设备，需报学校管理部门同意，并按国家规定进行退役处置；X光管报废时应敲碎，拍照留存</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98</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11.1.8</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仪器设备常规管理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对于高温、高压、高速运动、电磁辐射等特殊设备，对使用者有培训要求，有安全警示标识和安全警示线（黄色），并配备相应安全防护设施</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99</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11.2.1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机械安全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高速切削机械操作，工作前穿好工作服，戴好防护眼镜，衣袖口应扣紧，长发学生戴好工作帽。工作场所禁戴手套、长围巾、领带、手镯等配饰物，禁穿拖鞋、高跟鞋等</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hint="eastAsia" w:asciiTheme="minorEastAsia" w:hAnsiTheme="minorEastAsia"/>
                <w:sz w:val="24"/>
                <w:szCs w:val="24"/>
              </w:rPr>
              <w:t>100</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11.3.6</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电气安全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高压、大电流等强电实验室要设定安全距离，按规定设置安全警示牌、安全信号灯、联动式警铃、门锁，有安全隔离装置或屏蔽遮栏（由金属制成，并可靠接地，高度不低于2米）；控制室（控制台）应铺橡胶、绝缘垫等</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101</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11.3.10</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电气安全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断电操作时，在电源箱处有明显警示标识，以防他人随意合闸</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102</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11.5.2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粉尘安全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大量粉状物质的储存与使用场所，选用防爆型的电气设备、防爆灯、防爆电气开关，导线敷设应选用镀锌管气或水煤管，必须达到整体防爆要求。</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103</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12.1.2</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起重类设备</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操作人员须取得《特种设备作业人员证》，持证上岗，并每4年复审一次</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104</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12.2.1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压力容器</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压力大于0.1MPa且容积大于30L的压力容器，须取得《特种设备使用登记证》和《压力容器登记卡》</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105</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12.4.1</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冰箱管理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贮存危险化学品的冰箱为防爆冰箱或经过防爆改造的冰箱，禁止使用无霜型冰箱储存易燃易爆试剂</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heme="minorEastAsia" w:hAnsiTheme="minorEastAsia"/>
                <w:sz w:val="24"/>
                <w:szCs w:val="24"/>
              </w:rPr>
              <w:t>106</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12.5.3</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烘箱与电阻炉管理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不使用有故障、破损的烘箱、电阻炉；烘箱放置位置、高度合适，方便操作</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659" w:type="dxa"/>
            <w:shd w:val="clear" w:color="auto" w:fill="auto"/>
            <w:tcMar>
              <w:left w:w="45" w:type="dxa"/>
              <w:right w:w="45" w:type="dxa"/>
            </w:tcMar>
            <w:vAlign w:val="center"/>
          </w:tcPr>
          <w:p>
            <w:pPr>
              <w:spacing w:line="320" w:lineRule="exact"/>
              <w:jc w:val="center"/>
              <w:rPr>
                <w:rFonts w:asciiTheme="minorEastAsia" w:hAnsiTheme="minorEastAsia"/>
                <w:sz w:val="24"/>
                <w:szCs w:val="24"/>
              </w:rPr>
            </w:pPr>
            <w:r>
              <w:rPr>
                <w:rFonts w:ascii="Times New Roman" w:hAnsi="Times New Roman" w:cs="Times New Roman"/>
                <w:color w:val="000000"/>
                <w:sz w:val="24"/>
                <w:szCs w:val="24"/>
              </w:rPr>
              <w:t>107</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12.5.6</w:t>
            </w:r>
          </w:p>
        </w:tc>
        <w:tc>
          <w:tcPr>
            <w:tcW w:w="2163"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烘箱与电阻炉管理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使用烘箱、电阻炉等加热设备时有人值守（或10-15分钟检查一次），或有实时监控设施；使用中的烘箱、电阻炉要标识使用人姓名</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59" w:type="dxa"/>
            <w:shd w:val="clear" w:color="auto" w:fill="auto"/>
            <w:tcMar>
              <w:left w:w="45" w:type="dxa"/>
              <w:right w:w="45" w:type="dxa"/>
            </w:tcMar>
            <w:vAlign w:val="center"/>
          </w:tcPr>
          <w:p>
            <w:pPr>
              <w:spacing w:line="32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999" w:type="dxa"/>
            <w:shd w:val="clear" w:color="auto" w:fill="auto"/>
            <w:tcMar>
              <w:left w:w="45" w:type="dxa"/>
              <w:right w:w="45" w:type="dxa"/>
            </w:tcMar>
            <w:vAlign w:val="center"/>
          </w:tcPr>
          <w:p>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12.6.3</w:t>
            </w:r>
          </w:p>
        </w:tc>
        <w:tc>
          <w:tcPr>
            <w:tcW w:w="2163" w:type="dxa"/>
            <w:shd w:val="clear" w:color="auto" w:fill="auto"/>
            <w:tcMar>
              <w:left w:w="45" w:type="dxa"/>
              <w:right w:w="45" w:type="dxa"/>
            </w:tcMar>
            <w:vAlign w:val="center"/>
          </w:tcPr>
          <w:p>
            <w:pPr>
              <w:widowControl/>
              <w:rPr>
                <w:rFonts w:ascii="宋体" w:hAnsi="宋体" w:eastAsia="宋体" w:cs="宋体"/>
                <w:color w:val="000000"/>
                <w:szCs w:val="21"/>
              </w:rPr>
            </w:pPr>
            <w:r>
              <w:rPr>
                <w:rFonts w:hint="eastAsia" w:ascii="宋体" w:hAnsi="宋体" w:eastAsia="宋体" w:cs="宋体"/>
                <w:color w:val="000000"/>
                <w:szCs w:val="21"/>
              </w:rPr>
              <w:t>明火电炉与电吹风等管理</w:t>
            </w:r>
          </w:p>
        </w:tc>
        <w:tc>
          <w:tcPr>
            <w:tcW w:w="6488" w:type="dxa"/>
            <w:shd w:val="clear" w:color="auto" w:fill="auto"/>
            <w:tcMar>
              <w:left w:w="45" w:type="dxa"/>
              <w:right w:w="45" w:type="dxa"/>
            </w:tcMar>
            <w:vAlign w:val="center"/>
          </w:tcPr>
          <w:p>
            <w:pPr>
              <w:spacing w:line="320" w:lineRule="exact"/>
              <w:rPr>
                <w:rFonts w:ascii="宋体" w:hAnsi="宋体" w:eastAsia="宋体" w:cs="宋体"/>
                <w:color w:val="000000"/>
                <w:szCs w:val="21"/>
              </w:rPr>
            </w:pPr>
            <w:r>
              <w:rPr>
                <w:rFonts w:hint="eastAsia" w:ascii="宋体" w:hAnsi="宋体" w:eastAsia="宋体" w:cs="宋体"/>
                <w:color w:val="000000"/>
                <w:szCs w:val="21"/>
              </w:rPr>
              <w:t>不使用明火电炉加热易燃易爆试剂</w:t>
            </w:r>
          </w:p>
        </w:tc>
        <w:tc>
          <w:tcPr>
            <w:tcW w:w="832" w:type="dxa"/>
            <w:shd w:val="clear" w:color="auto" w:fill="auto"/>
            <w:tcMar>
              <w:left w:w="45" w:type="dxa"/>
              <w:right w:w="45" w:type="dxa"/>
            </w:tcMar>
            <w:vAlign w:val="center"/>
          </w:tcPr>
          <w:p>
            <w:pPr>
              <w:spacing w:line="320" w:lineRule="exact"/>
              <w:jc w:val="center"/>
              <w:rPr>
                <w:sz w:val="24"/>
                <w:szCs w:val="24"/>
              </w:rPr>
            </w:pPr>
            <w:r>
              <w:rPr>
                <w:rFonts w:hint="eastAsia"/>
                <w:sz w:val="24"/>
                <w:szCs w:val="24"/>
              </w:rPr>
              <w:t>*</w:t>
            </w:r>
          </w:p>
        </w:tc>
        <w:tc>
          <w:tcPr>
            <w:tcW w:w="963" w:type="dxa"/>
          </w:tcPr>
          <w:p>
            <w:pPr>
              <w:spacing w:line="320" w:lineRule="exact"/>
              <w:jc w:val="center"/>
              <w:rPr>
                <w:rFonts w:hint="eastAsia"/>
                <w:sz w:val="24"/>
                <w:szCs w:val="24"/>
              </w:rPr>
            </w:pPr>
          </w:p>
        </w:tc>
        <w:tc>
          <w:tcPr>
            <w:tcW w:w="1042" w:type="dxa"/>
          </w:tcPr>
          <w:p>
            <w:pPr>
              <w:spacing w:line="320" w:lineRule="exact"/>
              <w:jc w:val="center"/>
              <w:rPr>
                <w:rFonts w:hint="eastAsia"/>
                <w:sz w:val="24"/>
                <w:szCs w:val="24"/>
              </w:rPr>
            </w:pPr>
          </w:p>
        </w:tc>
        <w:tc>
          <w:tcPr>
            <w:tcW w:w="1043" w:type="dxa"/>
          </w:tcPr>
          <w:p>
            <w:pPr>
              <w:spacing w:line="320" w:lineRule="exact"/>
              <w:jc w:val="center"/>
              <w:rPr>
                <w:rFonts w:hint="eastAsia"/>
                <w:sz w:val="24"/>
                <w:szCs w:val="24"/>
              </w:rPr>
            </w:pPr>
          </w:p>
        </w:tc>
      </w:tr>
    </w:tbl>
    <w:p/>
    <w:p>
      <w:r>
        <w:rPr>
          <w:rFonts w:hint="eastAsia"/>
        </w:rPr>
        <w:t>备注：</w:t>
      </w:r>
    </w:p>
    <w:p>
      <w:pPr>
        <w:spacing w:beforeLines="50" w:line="500" w:lineRule="exact"/>
        <w:ind w:firstLine="560" w:firstLineChars="200"/>
      </w:pPr>
      <w:r>
        <w:rPr>
          <w:rFonts w:hint="eastAsia" w:ascii="仿宋" w:hAnsi="仿宋" w:eastAsia="仿宋"/>
          <w:sz w:val="28"/>
          <w:szCs w:val="24"/>
        </w:rPr>
        <w:t>为了提升</w:t>
      </w:r>
      <w:r>
        <w:rPr>
          <w:rFonts w:ascii="仿宋" w:hAnsi="仿宋" w:eastAsia="仿宋"/>
          <w:sz w:val="28"/>
          <w:szCs w:val="24"/>
        </w:rPr>
        <w:t>实验室安全检查的严肃性</w:t>
      </w:r>
      <w:r>
        <w:rPr>
          <w:rFonts w:hint="eastAsia" w:ascii="仿宋" w:hAnsi="仿宋" w:eastAsia="仿宋"/>
          <w:sz w:val="28"/>
          <w:szCs w:val="24"/>
        </w:rPr>
        <w:t>和</w:t>
      </w:r>
      <w:r>
        <w:rPr>
          <w:rFonts w:ascii="仿宋" w:hAnsi="仿宋" w:eastAsia="仿宋"/>
          <w:sz w:val="28"/>
          <w:szCs w:val="24"/>
        </w:rPr>
        <w:t>有效性</w:t>
      </w:r>
      <w:r>
        <w:rPr>
          <w:rFonts w:hint="eastAsia" w:ascii="仿宋" w:hAnsi="仿宋" w:eastAsia="仿宋"/>
          <w:sz w:val="28"/>
          <w:szCs w:val="24"/>
        </w:rPr>
        <w:t>，扎扎实实</w:t>
      </w:r>
      <w:r>
        <w:rPr>
          <w:rFonts w:ascii="仿宋" w:hAnsi="仿宋" w:eastAsia="仿宋"/>
          <w:sz w:val="28"/>
          <w:szCs w:val="24"/>
        </w:rPr>
        <w:t>推进高校</w:t>
      </w:r>
      <w:r>
        <w:rPr>
          <w:rFonts w:hint="eastAsia" w:ascii="仿宋" w:hAnsi="仿宋" w:eastAsia="仿宋"/>
          <w:sz w:val="28"/>
          <w:szCs w:val="24"/>
        </w:rPr>
        <w:t>实验室</w:t>
      </w:r>
      <w:r>
        <w:rPr>
          <w:rFonts w:ascii="仿宋" w:hAnsi="仿宋" w:eastAsia="仿宋"/>
          <w:sz w:val="28"/>
          <w:szCs w:val="24"/>
        </w:rPr>
        <w:t>安全</w:t>
      </w:r>
      <w:r>
        <w:rPr>
          <w:rFonts w:hint="eastAsia" w:ascii="仿宋" w:hAnsi="仿宋" w:eastAsia="仿宋"/>
          <w:sz w:val="28"/>
          <w:szCs w:val="24"/>
        </w:rPr>
        <w:t>管理</w:t>
      </w:r>
      <w:r>
        <w:rPr>
          <w:rFonts w:ascii="仿宋" w:hAnsi="仿宋" w:eastAsia="仿宋"/>
          <w:sz w:val="28"/>
          <w:szCs w:val="24"/>
        </w:rPr>
        <w:t>和预防工作</w:t>
      </w:r>
      <w:r>
        <w:rPr>
          <w:rFonts w:hint="eastAsia" w:ascii="仿宋" w:hAnsi="仿宋" w:eastAsia="仿宋"/>
          <w:sz w:val="28"/>
          <w:szCs w:val="24"/>
        </w:rPr>
        <w:t>，对检查条款和</w:t>
      </w:r>
      <w:r>
        <w:rPr>
          <w:rFonts w:ascii="仿宋" w:hAnsi="仿宋" w:eastAsia="仿宋"/>
          <w:sz w:val="28"/>
          <w:szCs w:val="24"/>
        </w:rPr>
        <w:t>检查结果</w:t>
      </w:r>
      <w:r>
        <w:rPr>
          <w:rFonts w:hint="eastAsia" w:ascii="仿宋" w:hAnsi="仿宋" w:eastAsia="仿宋"/>
          <w:sz w:val="28"/>
          <w:szCs w:val="24"/>
        </w:rPr>
        <w:t>进行了分级</w:t>
      </w:r>
      <w:r>
        <w:rPr>
          <w:rFonts w:ascii="仿宋" w:hAnsi="仿宋" w:eastAsia="仿宋"/>
          <w:sz w:val="28"/>
          <w:szCs w:val="24"/>
        </w:rPr>
        <w:t>。</w:t>
      </w:r>
      <w:r>
        <w:rPr>
          <w:rFonts w:hint="eastAsia" w:ascii="仿宋" w:hAnsi="仿宋" w:eastAsia="仿宋"/>
          <w:sz w:val="28"/>
          <w:szCs w:val="24"/>
        </w:rPr>
        <w:t>根据《2018高等学校实验室安全检查项目表》35</w:t>
      </w:r>
      <w:r>
        <w:rPr>
          <w:rFonts w:ascii="仿宋" w:hAnsi="仿宋" w:eastAsia="仿宋"/>
          <w:sz w:val="28"/>
          <w:szCs w:val="24"/>
        </w:rPr>
        <w:t>8</w:t>
      </w:r>
      <w:r>
        <w:rPr>
          <w:rFonts w:hint="eastAsia" w:ascii="仿宋" w:hAnsi="仿宋" w:eastAsia="仿宋"/>
          <w:sz w:val="28"/>
          <w:szCs w:val="24"/>
        </w:rPr>
        <w:t>条款</w:t>
      </w:r>
      <w:r>
        <w:rPr>
          <w:rFonts w:ascii="仿宋" w:hAnsi="仿宋" w:eastAsia="仿宋"/>
          <w:sz w:val="28"/>
          <w:szCs w:val="24"/>
        </w:rPr>
        <w:t>，</w:t>
      </w:r>
      <w:r>
        <w:rPr>
          <w:rFonts w:hint="eastAsia" w:ascii="仿宋" w:hAnsi="仿宋" w:eastAsia="仿宋"/>
          <w:sz w:val="28"/>
          <w:szCs w:val="24"/>
        </w:rPr>
        <w:t>按照重要性、导向</w:t>
      </w:r>
      <w:r>
        <w:rPr>
          <w:rFonts w:ascii="仿宋" w:hAnsi="仿宋" w:eastAsia="仿宋"/>
          <w:sz w:val="28"/>
          <w:szCs w:val="24"/>
        </w:rPr>
        <w:t>性</w:t>
      </w:r>
      <w:r>
        <w:rPr>
          <w:rFonts w:hint="eastAsia" w:ascii="仿宋" w:hAnsi="仿宋" w:eastAsia="仿宋"/>
          <w:sz w:val="28"/>
          <w:szCs w:val="24"/>
        </w:rPr>
        <w:t>情况进行星级划分，其中</w:t>
      </w:r>
      <w:r>
        <w:rPr>
          <w:rFonts w:ascii="仿宋" w:hAnsi="仿宋" w:eastAsia="仿宋"/>
          <w:sz w:val="28"/>
          <w:szCs w:val="24"/>
        </w:rPr>
        <w:t>三星</w:t>
      </w:r>
      <w:r>
        <w:rPr>
          <w:rFonts w:hint="eastAsia" w:ascii="仿宋" w:hAnsi="仿宋" w:eastAsia="仿宋"/>
          <w:sz w:val="28"/>
          <w:szCs w:val="24"/>
        </w:rPr>
        <w:t>“***”5个，表示</w:t>
      </w:r>
      <w:r>
        <w:rPr>
          <w:rFonts w:ascii="仿宋" w:hAnsi="仿宋" w:eastAsia="仿宋"/>
          <w:sz w:val="28"/>
          <w:szCs w:val="24"/>
        </w:rPr>
        <w:t>非常重</w:t>
      </w:r>
      <w:r>
        <w:rPr>
          <w:rFonts w:hint="eastAsia" w:ascii="仿宋" w:hAnsi="仿宋" w:eastAsia="仿宋"/>
          <w:sz w:val="28"/>
          <w:szCs w:val="24"/>
        </w:rPr>
        <w:t>要</w:t>
      </w:r>
      <w:r>
        <w:rPr>
          <w:rFonts w:ascii="仿宋" w:hAnsi="仿宋" w:eastAsia="仿宋"/>
          <w:sz w:val="28"/>
          <w:szCs w:val="24"/>
        </w:rPr>
        <w:t>，</w:t>
      </w:r>
      <w:r>
        <w:rPr>
          <w:rFonts w:hint="eastAsia" w:ascii="仿宋" w:hAnsi="仿宋" w:eastAsia="仿宋"/>
          <w:sz w:val="28"/>
          <w:szCs w:val="24"/>
        </w:rPr>
        <w:t>属于</w:t>
      </w:r>
      <w:r>
        <w:rPr>
          <w:rFonts w:ascii="仿宋" w:hAnsi="仿宋" w:eastAsia="仿宋"/>
          <w:sz w:val="28"/>
          <w:szCs w:val="24"/>
        </w:rPr>
        <w:t>底线，必须符合</w:t>
      </w:r>
      <w:r>
        <w:rPr>
          <w:rFonts w:hint="eastAsia" w:ascii="仿宋" w:hAnsi="仿宋" w:eastAsia="仿宋"/>
          <w:sz w:val="28"/>
          <w:szCs w:val="24"/>
        </w:rPr>
        <w:t>；二星“**”25个，属于</w:t>
      </w:r>
      <w:r>
        <w:rPr>
          <w:rFonts w:ascii="仿宋" w:hAnsi="仿宋" w:eastAsia="仿宋"/>
          <w:sz w:val="28"/>
          <w:szCs w:val="24"/>
        </w:rPr>
        <w:t>很重要的条款，</w:t>
      </w:r>
      <w:r>
        <w:rPr>
          <w:rFonts w:hint="eastAsia" w:ascii="仿宋" w:hAnsi="仿宋" w:eastAsia="仿宋"/>
          <w:sz w:val="28"/>
          <w:szCs w:val="24"/>
        </w:rPr>
        <w:t>有严肃</w:t>
      </w:r>
      <w:r>
        <w:rPr>
          <w:rFonts w:ascii="仿宋" w:hAnsi="仿宋" w:eastAsia="仿宋"/>
          <w:sz w:val="28"/>
          <w:szCs w:val="24"/>
        </w:rPr>
        <w:t>性和导向性；</w:t>
      </w:r>
      <w:r>
        <w:rPr>
          <w:rFonts w:hint="eastAsia" w:ascii="仿宋" w:hAnsi="仿宋" w:eastAsia="仿宋"/>
          <w:sz w:val="28"/>
          <w:szCs w:val="24"/>
        </w:rPr>
        <w:t>一星“*”78个，属于</w:t>
      </w:r>
      <w:r>
        <w:rPr>
          <w:rFonts w:ascii="仿宋" w:hAnsi="仿宋" w:eastAsia="仿宋"/>
          <w:sz w:val="28"/>
          <w:szCs w:val="24"/>
        </w:rPr>
        <w:t>比较重要</w:t>
      </w:r>
      <w:r>
        <w:rPr>
          <w:rFonts w:hint="eastAsia" w:ascii="仿宋" w:hAnsi="仿宋" w:eastAsia="仿宋"/>
          <w:sz w:val="28"/>
          <w:szCs w:val="24"/>
        </w:rPr>
        <w:t>的条款</w:t>
      </w:r>
      <w:r>
        <w:rPr>
          <w:rFonts w:ascii="仿宋" w:hAnsi="仿宋" w:eastAsia="仿宋"/>
          <w:sz w:val="28"/>
          <w:szCs w:val="24"/>
        </w:rPr>
        <w:t>。</w:t>
      </w:r>
      <w:r>
        <w:rPr>
          <w:rFonts w:hint="eastAsia" w:ascii="仿宋" w:hAnsi="仿宋" w:eastAsia="仿宋"/>
          <w:sz w:val="28"/>
          <w:szCs w:val="24"/>
        </w:rPr>
        <w:t>没有</w:t>
      </w:r>
      <w:r>
        <w:rPr>
          <w:rFonts w:ascii="仿宋" w:hAnsi="仿宋" w:eastAsia="仿宋"/>
          <w:sz w:val="28"/>
          <w:szCs w:val="24"/>
        </w:rPr>
        <w:t>星号的条款</w:t>
      </w:r>
      <w:r>
        <w:rPr>
          <w:rFonts w:hint="eastAsia" w:ascii="仿宋" w:hAnsi="仿宋" w:eastAsia="仿宋"/>
          <w:sz w:val="28"/>
          <w:szCs w:val="24"/>
        </w:rPr>
        <w:t>，</w:t>
      </w:r>
      <w:r>
        <w:rPr>
          <w:rFonts w:ascii="仿宋" w:hAnsi="仿宋" w:eastAsia="仿宋"/>
          <w:sz w:val="28"/>
          <w:szCs w:val="24"/>
        </w:rPr>
        <w:t>依然是高校实验室</w:t>
      </w:r>
      <w:r>
        <w:rPr>
          <w:rFonts w:hint="eastAsia" w:ascii="仿宋" w:hAnsi="仿宋" w:eastAsia="仿宋"/>
          <w:sz w:val="28"/>
          <w:szCs w:val="24"/>
        </w:rPr>
        <w:t>需</w:t>
      </w:r>
      <w:r>
        <w:rPr>
          <w:rFonts w:ascii="仿宋" w:hAnsi="仿宋" w:eastAsia="仿宋"/>
          <w:sz w:val="28"/>
          <w:szCs w:val="24"/>
        </w:rPr>
        <w:t>做好的方方面面</w:t>
      </w:r>
      <w:r>
        <w:rPr>
          <w:rFonts w:hint="eastAsia" w:ascii="仿宋" w:hAnsi="仿宋" w:eastAsia="仿宋"/>
          <w:sz w:val="28"/>
          <w:szCs w:val="24"/>
        </w:rPr>
        <w:t>，现场</w:t>
      </w:r>
      <w:r>
        <w:rPr>
          <w:rFonts w:ascii="仿宋" w:hAnsi="仿宋" w:eastAsia="仿宋"/>
          <w:sz w:val="28"/>
          <w:szCs w:val="24"/>
        </w:rPr>
        <w:t>检查时也会抽查，不可忽视。</w:t>
      </w:r>
    </w:p>
    <w:sectPr>
      <w:pgSz w:w="16838" w:h="11906" w:orient="landscape"/>
      <w:pgMar w:top="1588" w:right="1440" w:bottom="147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D4B04EC"/>
    <w:rsid w:val="002B3B16"/>
    <w:rsid w:val="003E0EAA"/>
    <w:rsid w:val="00680BDA"/>
    <w:rsid w:val="00871973"/>
    <w:rsid w:val="008E20F5"/>
    <w:rsid w:val="00A1655C"/>
    <w:rsid w:val="00C45B4C"/>
    <w:rsid w:val="00CB0A1A"/>
    <w:rsid w:val="00CF127E"/>
    <w:rsid w:val="00D03A93"/>
    <w:rsid w:val="00D3176C"/>
    <w:rsid w:val="00DA3815"/>
    <w:rsid w:val="00E30629"/>
    <w:rsid w:val="341F3936"/>
    <w:rsid w:val="3D4B04EC"/>
    <w:rsid w:val="40D23685"/>
    <w:rsid w:val="41EC1205"/>
    <w:rsid w:val="551B5D39"/>
    <w:rsid w:val="6D535020"/>
    <w:rsid w:val="79912B40"/>
    <w:rsid w:val="7B55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1111</Words>
  <Characters>6333</Characters>
  <Lines>52</Lines>
  <Paragraphs>14</Paragraphs>
  <TotalTime>0</TotalTime>
  <ScaleCrop>false</ScaleCrop>
  <LinksUpToDate>false</LinksUpToDate>
  <CharactersWithSpaces>7430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2018-09-10T07:59:00Z</dcterms:created>
  <dc:creator>lenovo</dc:creator>
  <cp:lastModifiedBy>Happy～ing"^_^"</cp:lastModifiedBy>
  <cp:lastPrinted>2018-09-11T06:26:00Z</cp:lastPrinted>
  <dcterms:modified xsi:type="dcterms:W3CDTF">2019-01-11T03:52:40Z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