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EC5" w:rsidRPr="007C4232" w:rsidRDefault="00CD6EC5" w:rsidP="007C4232">
      <w:pPr>
        <w:spacing w:line="220" w:lineRule="atLeast"/>
        <w:ind w:firstLineChars="100" w:firstLine="300"/>
        <w:rPr>
          <w:rFonts w:ascii="黑体" w:eastAsia="黑体" w:hAnsi="黑体" w:hint="eastAsia"/>
          <w:sz w:val="30"/>
          <w:szCs w:val="30"/>
        </w:rPr>
      </w:pPr>
      <w:r w:rsidRPr="007C4232">
        <w:rPr>
          <w:rFonts w:ascii="黑体" w:eastAsia="黑体" w:hAnsi="黑体" w:hint="eastAsia"/>
          <w:sz w:val="30"/>
          <w:szCs w:val="30"/>
        </w:rPr>
        <w:t>肝素联合纳米银抗菌凝胶对大鼠皮肤深II°烧伤愈合的影响</w:t>
      </w:r>
    </w:p>
    <w:p w:rsidR="007C4232" w:rsidRDefault="007C4232" w:rsidP="007C4232">
      <w:pPr>
        <w:pStyle w:val="p0"/>
        <w:spacing w:line="400" w:lineRule="exact"/>
        <w:ind w:firstLineChars="1350" w:firstLine="3240"/>
        <w:rPr>
          <w:rFonts w:hint="eastAsia"/>
          <w:bCs/>
          <w:sz w:val="24"/>
          <w:szCs w:val="24"/>
        </w:rPr>
      </w:pPr>
      <w:r>
        <w:rPr>
          <w:rFonts w:hAnsi="宋体" w:hint="eastAsia"/>
          <w:bCs/>
          <w:sz w:val="24"/>
          <w:szCs w:val="24"/>
        </w:rPr>
        <w:t>研</w:t>
      </w:r>
      <w:r>
        <w:rPr>
          <w:rFonts w:hint="eastAsia"/>
          <w:bCs/>
          <w:sz w:val="24"/>
          <w:szCs w:val="24"/>
        </w:rPr>
        <w:t xml:space="preserve"> </w:t>
      </w:r>
      <w:r>
        <w:rPr>
          <w:rFonts w:hAnsi="宋体" w:hint="eastAsia"/>
          <w:bCs/>
          <w:sz w:val="24"/>
          <w:szCs w:val="24"/>
        </w:rPr>
        <w:t>究</w:t>
      </w:r>
      <w:r>
        <w:rPr>
          <w:rFonts w:hint="eastAsia"/>
          <w:bCs/>
          <w:sz w:val="24"/>
          <w:szCs w:val="24"/>
        </w:rPr>
        <w:t xml:space="preserve"> </w:t>
      </w:r>
      <w:r>
        <w:rPr>
          <w:rFonts w:hAnsi="宋体" w:hint="eastAsia"/>
          <w:bCs/>
          <w:sz w:val="24"/>
          <w:szCs w:val="24"/>
        </w:rPr>
        <w:t>生：李刚</w:t>
      </w:r>
    </w:p>
    <w:p w:rsidR="007C4232" w:rsidRDefault="007C4232" w:rsidP="007C4232">
      <w:pPr>
        <w:pStyle w:val="p0"/>
        <w:spacing w:line="400" w:lineRule="exact"/>
        <w:jc w:val="center"/>
        <w:rPr>
          <w:rFonts w:hint="eastAsia"/>
          <w:bCs/>
          <w:sz w:val="24"/>
          <w:szCs w:val="24"/>
        </w:rPr>
      </w:pPr>
      <w:r>
        <w:rPr>
          <w:rFonts w:hAnsi="宋体" w:hint="eastAsia"/>
          <w:bCs/>
          <w:sz w:val="24"/>
          <w:szCs w:val="24"/>
        </w:rPr>
        <w:t xml:space="preserve"> </w:t>
      </w:r>
      <w:r>
        <w:rPr>
          <w:rFonts w:hAnsi="宋体" w:hint="eastAsia"/>
          <w:bCs/>
          <w:sz w:val="24"/>
          <w:szCs w:val="24"/>
        </w:rPr>
        <w:t>指导教师：高福莲</w:t>
      </w:r>
    </w:p>
    <w:p w:rsidR="007C4232" w:rsidRDefault="007C4232" w:rsidP="007C4232">
      <w:pPr>
        <w:spacing w:line="220" w:lineRule="atLeast"/>
        <w:ind w:firstLineChars="1250" w:firstLine="3750"/>
        <w:rPr>
          <w:rFonts w:hint="eastAsia"/>
          <w:b/>
          <w:sz w:val="30"/>
          <w:szCs w:val="30"/>
        </w:rPr>
      </w:pPr>
    </w:p>
    <w:p w:rsidR="00CD6EC5" w:rsidRPr="007C4232" w:rsidRDefault="00CD6EC5" w:rsidP="007C4232">
      <w:pPr>
        <w:spacing w:line="220" w:lineRule="atLeast"/>
        <w:ind w:firstLineChars="1600" w:firstLine="3840"/>
        <w:rPr>
          <w:rFonts w:asciiTheme="minorEastAsia" w:eastAsiaTheme="minorEastAsia" w:hAnsiTheme="minorEastAsia"/>
          <w:sz w:val="24"/>
          <w:szCs w:val="24"/>
        </w:rPr>
      </w:pPr>
      <w:r w:rsidRPr="007C4232">
        <w:rPr>
          <w:rFonts w:asciiTheme="minorEastAsia" w:eastAsiaTheme="minorEastAsia" w:hAnsiTheme="minorEastAsia" w:hint="eastAsia"/>
          <w:sz w:val="24"/>
          <w:szCs w:val="24"/>
        </w:rPr>
        <w:t>摘要</w:t>
      </w:r>
    </w:p>
    <w:p w:rsidR="007C4232" w:rsidRPr="007C4232" w:rsidRDefault="00CD6EC5" w:rsidP="00CD6EC5">
      <w:pPr>
        <w:spacing w:line="220" w:lineRule="atLeast"/>
        <w:rPr>
          <w:rFonts w:ascii="黑体" w:eastAsia="黑体" w:hAnsi="黑体" w:hint="eastAsia"/>
          <w:sz w:val="24"/>
          <w:szCs w:val="24"/>
        </w:rPr>
      </w:pPr>
      <w:r w:rsidRPr="007C4232">
        <w:rPr>
          <w:rFonts w:ascii="黑体" w:eastAsia="黑体" w:hAnsi="黑体" w:hint="eastAsia"/>
          <w:sz w:val="24"/>
          <w:szCs w:val="24"/>
        </w:rPr>
        <w:t xml:space="preserve">目的  </w:t>
      </w:r>
    </w:p>
    <w:p w:rsidR="00CD6EC5" w:rsidRPr="00CD6EC5" w:rsidRDefault="00CD6EC5" w:rsidP="00CD6EC5">
      <w:pPr>
        <w:spacing w:line="220" w:lineRule="atLeast"/>
        <w:rPr>
          <w:sz w:val="24"/>
          <w:szCs w:val="24"/>
        </w:rPr>
      </w:pPr>
      <w:r w:rsidRPr="00CD6EC5">
        <w:rPr>
          <w:rFonts w:hint="eastAsia"/>
          <w:sz w:val="24"/>
          <w:szCs w:val="24"/>
        </w:rPr>
        <w:t>本研究用纳米银抗菌凝胶控制大鼠皮肤深</w:t>
      </w:r>
      <w:r w:rsidRPr="00CD6EC5">
        <w:rPr>
          <w:rFonts w:hint="eastAsia"/>
          <w:sz w:val="24"/>
          <w:szCs w:val="24"/>
        </w:rPr>
        <w:t>II</w:t>
      </w:r>
      <w:r w:rsidRPr="00CD6EC5">
        <w:rPr>
          <w:rFonts w:hint="eastAsia"/>
          <w:sz w:val="24"/>
          <w:szCs w:val="24"/>
        </w:rPr>
        <w:t>°烧伤创面感染的情况下，观察肝素对烧伤创面的愈合作用，用创面组织增殖细胞核抗原（</w:t>
      </w:r>
      <w:r w:rsidRPr="00CD6EC5">
        <w:rPr>
          <w:rFonts w:hint="eastAsia"/>
          <w:sz w:val="24"/>
          <w:szCs w:val="24"/>
        </w:rPr>
        <w:t>Proliferating Cell Nuclear Antigen</w:t>
      </w:r>
      <w:r w:rsidRPr="00CD6EC5">
        <w:rPr>
          <w:rFonts w:hint="eastAsia"/>
          <w:sz w:val="24"/>
          <w:szCs w:val="24"/>
        </w:rPr>
        <w:t>，</w:t>
      </w:r>
      <w:r w:rsidRPr="00CD6EC5">
        <w:rPr>
          <w:rFonts w:hint="eastAsia"/>
          <w:sz w:val="24"/>
          <w:szCs w:val="24"/>
        </w:rPr>
        <w:t>PCNA</w:t>
      </w:r>
      <w:r w:rsidRPr="00CD6EC5">
        <w:rPr>
          <w:rFonts w:hint="eastAsia"/>
          <w:sz w:val="24"/>
          <w:szCs w:val="24"/>
        </w:rPr>
        <w:t>）、角质细胞生长因子（</w:t>
      </w:r>
      <w:proofErr w:type="spellStart"/>
      <w:r w:rsidRPr="00CD6EC5">
        <w:rPr>
          <w:rFonts w:hint="eastAsia"/>
          <w:sz w:val="24"/>
          <w:szCs w:val="24"/>
        </w:rPr>
        <w:t>Keratinocyte</w:t>
      </w:r>
      <w:proofErr w:type="spellEnd"/>
      <w:r w:rsidRPr="00CD6EC5">
        <w:rPr>
          <w:rFonts w:hint="eastAsia"/>
          <w:sz w:val="24"/>
          <w:szCs w:val="24"/>
        </w:rPr>
        <w:t xml:space="preserve"> Growth Factor</w:t>
      </w:r>
      <w:r w:rsidRPr="00CD6EC5">
        <w:rPr>
          <w:rFonts w:hint="eastAsia"/>
          <w:sz w:val="24"/>
          <w:szCs w:val="24"/>
        </w:rPr>
        <w:t>，</w:t>
      </w:r>
      <w:r w:rsidRPr="00CD6EC5">
        <w:rPr>
          <w:rFonts w:hint="eastAsia"/>
          <w:sz w:val="24"/>
          <w:szCs w:val="24"/>
        </w:rPr>
        <w:t>KGF</w:t>
      </w:r>
      <w:r w:rsidRPr="00CD6EC5">
        <w:rPr>
          <w:rFonts w:hint="eastAsia"/>
          <w:sz w:val="24"/>
          <w:szCs w:val="24"/>
        </w:rPr>
        <w:t>）的表达和胶原纤维的改变，来判断是否影响创面愈合过程中细胞增殖、角质形成细胞的形成、胶原纤维的分泌？探讨肝素对烧伤创面愈合作用的病理生理机理，为临床治疗提供一定的基础理论依据。</w:t>
      </w:r>
    </w:p>
    <w:p w:rsidR="007C4232" w:rsidRDefault="00CD6EC5" w:rsidP="00CD6EC5">
      <w:pPr>
        <w:spacing w:line="220" w:lineRule="atLeast"/>
        <w:rPr>
          <w:rFonts w:hint="eastAsia"/>
          <w:sz w:val="24"/>
          <w:szCs w:val="24"/>
        </w:rPr>
      </w:pPr>
      <w:r w:rsidRPr="007C4232">
        <w:rPr>
          <w:rFonts w:ascii="黑体" w:eastAsia="黑体" w:hAnsi="黑体" w:hint="eastAsia"/>
          <w:sz w:val="24"/>
          <w:szCs w:val="24"/>
        </w:rPr>
        <w:t>方法</w:t>
      </w:r>
      <w:r w:rsidRPr="007C4232">
        <w:rPr>
          <w:rFonts w:hint="eastAsia"/>
          <w:sz w:val="24"/>
          <w:szCs w:val="24"/>
        </w:rPr>
        <w:t xml:space="preserve"> </w:t>
      </w:r>
    </w:p>
    <w:p w:rsidR="00CD6EC5" w:rsidRPr="007C4232" w:rsidRDefault="00CD6EC5" w:rsidP="00CD6EC5">
      <w:pPr>
        <w:spacing w:line="220" w:lineRule="atLeast"/>
        <w:rPr>
          <w:sz w:val="24"/>
          <w:szCs w:val="24"/>
        </w:rPr>
      </w:pPr>
      <w:r w:rsidRPr="007C4232">
        <w:rPr>
          <w:rFonts w:hint="eastAsia"/>
          <w:sz w:val="24"/>
          <w:szCs w:val="24"/>
        </w:rPr>
        <w:t>SD</w:t>
      </w:r>
      <w:r w:rsidRPr="007C4232">
        <w:rPr>
          <w:rFonts w:hint="eastAsia"/>
          <w:sz w:val="24"/>
          <w:szCs w:val="24"/>
        </w:rPr>
        <w:t>大鼠</w:t>
      </w:r>
      <w:r w:rsidRPr="007C4232">
        <w:rPr>
          <w:rFonts w:hint="eastAsia"/>
          <w:sz w:val="24"/>
          <w:szCs w:val="24"/>
        </w:rPr>
        <w:t>66</w:t>
      </w:r>
      <w:r w:rsidRPr="007C4232">
        <w:rPr>
          <w:rFonts w:hint="eastAsia"/>
          <w:sz w:val="24"/>
          <w:szCs w:val="24"/>
        </w:rPr>
        <w:t>只，体重为</w:t>
      </w:r>
      <w:r w:rsidRPr="007C4232">
        <w:rPr>
          <w:rFonts w:hint="eastAsia"/>
          <w:sz w:val="24"/>
          <w:szCs w:val="24"/>
        </w:rPr>
        <w:t>190</w:t>
      </w:r>
      <w:r w:rsidRPr="007C4232">
        <w:rPr>
          <w:rFonts w:hint="eastAsia"/>
          <w:sz w:val="24"/>
          <w:szCs w:val="24"/>
        </w:rPr>
        <w:t>±</w:t>
      </w:r>
      <w:r w:rsidRPr="007C4232">
        <w:rPr>
          <w:rFonts w:hint="eastAsia"/>
          <w:sz w:val="24"/>
          <w:szCs w:val="24"/>
        </w:rPr>
        <w:t>10g</w:t>
      </w:r>
      <w:r w:rsidRPr="007C4232">
        <w:rPr>
          <w:rFonts w:hint="eastAsia"/>
          <w:sz w:val="24"/>
          <w:szCs w:val="24"/>
        </w:rPr>
        <w:t>，常规饲养于温度</w:t>
      </w:r>
      <w:r w:rsidRPr="007C4232">
        <w:rPr>
          <w:rFonts w:hint="eastAsia"/>
          <w:sz w:val="24"/>
          <w:szCs w:val="24"/>
        </w:rPr>
        <w:t>20~25</w:t>
      </w:r>
      <w:r w:rsidRPr="007C4232">
        <w:rPr>
          <w:rFonts w:hint="eastAsia"/>
          <w:sz w:val="24"/>
          <w:szCs w:val="24"/>
        </w:rPr>
        <w:t>℃、湿度</w:t>
      </w:r>
      <w:r w:rsidRPr="007C4232">
        <w:rPr>
          <w:rFonts w:hint="eastAsia"/>
          <w:sz w:val="24"/>
          <w:szCs w:val="24"/>
        </w:rPr>
        <w:t>50%</w:t>
      </w:r>
      <w:r w:rsidRPr="007C4232">
        <w:rPr>
          <w:rFonts w:hint="eastAsia"/>
          <w:sz w:val="24"/>
          <w:szCs w:val="24"/>
        </w:rPr>
        <w:t>左右、紫外线消毒后的房间。随机分为正常对照组、模型判定组，模型组、无菌包扎组、纳米银组、肝素组和联合用药组</w:t>
      </w:r>
      <w:r w:rsidRPr="007C4232">
        <w:rPr>
          <w:rFonts w:hint="eastAsia"/>
          <w:sz w:val="24"/>
          <w:szCs w:val="24"/>
        </w:rPr>
        <w:t>7</w:t>
      </w:r>
      <w:r w:rsidRPr="007C4232">
        <w:rPr>
          <w:rFonts w:hint="eastAsia"/>
          <w:sz w:val="24"/>
          <w:szCs w:val="24"/>
        </w:rPr>
        <w:t>组，各组背部近尾侧皮肤脱毛，后</w:t>
      </w:r>
      <w:r w:rsidRPr="007C4232">
        <w:rPr>
          <w:rFonts w:hint="eastAsia"/>
          <w:sz w:val="24"/>
          <w:szCs w:val="24"/>
        </w:rPr>
        <w:t>6</w:t>
      </w:r>
      <w:r w:rsidRPr="007C4232">
        <w:rPr>
          <w:rFonts w:hint="eastAsia"/>
          <w:sz w:val="24"/>
          <w:szCs w:val="24"/>
        </w:rPr>
        <w:t>组大鼠脱毛后的皮肤紧贴水持续沸腾的烧瓶口（直径</w:t>
      </w:r>
      <w:r w:rsidRPr="007C4232">
        <w:rPr>
          <w:rFonts w:hint="eastAsia"/>
          <w:sz w:val="24"/>
          <w:szCs w:val="24"/>
        </w:rPr>
        <w:t>2cm</w:t>
      </w:r>
      <w:r w:rsidRPr="007C4232">
        <w:rPr>
          <w:rFonts w:hint="eastAsia"/>
          <w:sz w:val="24"/>
          <w:szCs w:val="24"/>
        </w:rPr>
        <w:t>）</w:t>
      </w:r>
      <w:r w:rsidRPr="007C4232">
        <w:rPr>
          <w:rFonts w:hint="eastAsia"/>
          <w:sz w:val="24"/>
          <w:szCs w:val="24"/>
        </w:rPr>
        <w:t>5S</w:t>
      </w:r>
      <w:r w:rsidRPr="007C4232">
        <w:rPr>
          <w:rFonts w:hint="eastAsia"/>
          <w:sz w:val="24"/>
          <w:szCs w:val="24"/>
        </w:rPr>
        <w:t>制作烧伤模型。模型组大鼠烧伤创面暴露，无菌包扎组、纳米银组、肝素组和联合用药组大鼠烧伤创面均用无菌纱布覆盖，纳米银组、肝素组和联合用药组的大鼠烧伤创面分别用肝素钠、纳米银抗菌凝胶</w:t>
      </w:r>
      <w:r w:rsidRPr="007C4232">
        <w:rPr>
          <w:rFonts w:hint="eastAsia"/>
          <w:sz w:val="24"/>
          <w:szCs w:val="24"/>
        </w:rPr>
        <w:t>1ml</w:t>
      </w:r>
      <w:r w:rsidRPr="007C4232">
        <w:rPr>
          <w:rFonts w:hint="eastAsia"/>
          <w:sz w:val="24"/>
          <w:szCs w:val="24"/>
        </w:rPr>
        <w:t>和二者涂抹于创面。每天观察大鼠的精神状态、体重、创面情况，直至取材时，正常对照组、模型判定组在制模</w:t>
      </w:r>
      <w:r w:rsidRPr="007C4232">
        <w:rPr>
          <w:rFonts w:hint="eastAsia"/>
          <w:sz w:val="24"/>
          <w:szCs w:val="24"/>
        </w:rPr>
        <w:t>1d</w:t>
      </w:r>
      <w:r w:rsidRPr="007C4232">
        <w:rPr>
          <w:rFonts w:hint="eastAsia"/>
          <w:sz w:val="24"/>
          <w:szCs w:val="24"/>
        </w:rPr>
        <w:t>后取材，模型组、无菌包扎组、肝素组、纳米银组和联合用药组分别在第</w:t>
      </w:r>
      <w:r w:rsidRPr="007C4232">
        <w:rPr>
          <w:rFonts w:hint="eastAsia"/>
          <w:sz w:val="24"/>
          <w:szCs w:val="24"/>
        </w:rPr>
        <w:t>4</w:t>
      </w:r>
      <w:r w:rsidRPr="007C4232">
        <w:rPr>
          <w:rFonts w:hint="eastAsia"/>
          <w:sz w:val="24"/>
          <w:szCs w:val="24"/>
        </w:rPr>
        <w:t>、</w:t>
      </w:r>
      <w:r w:rsidRPr="007C4232">
        <w:rPr>
          <w:rFonts w:hint="eastAsia"/>
          <w:sz w:val="24"/>
          <w:szCs w:val="24"/>
        </w:rPr>
        <w:t>14</w:t>
      </w:r>
      <w:r w:rsidRPr="007C4232">
        <w:rPr>
          <w:rFonts w:hint="eastAsia"/>
          <w:sz w:val="24"/>
          <w:szCs w:val="24"/>
        </w:rPr>
        <w:t>、</w:t>
      </w:r>
      <w:r w:rsidRPr="007C4232">
        <w:rPr>
          <w:rFonts w:hint="eastAsia"/>
          <w:sz w:val="24"/>
          <w:szCs w:val="24"/>
        </w:rPr>
        <w:t>21d</w:t>
      </w:r>
      <w:r w:rsidRPr="007C4232">
        <w:rPr>
          <w:rFonts w:hint="eastAsia"/>
          <w:sz w:val="24"/>
          <w:szCs w:val="24"/>
        </w:rPr>
        <w:t>和愈合时取材，每组每时段取材动物</w:t>
      </w:r>
      <w:r w:rsidRPr="007C4232">
        <w:rPr>
          <w:rFonts w:hint="eastAsia"/>
          <w:sz w:val="24"/>
          <w:szCs w:val="24"/>
        </w:rPr>
        <w:t>3</w:t>
      </w:r>
      <w:r w:rsidRPr="007C4232">
        <w:rPr>
          <w:rFonts w:hint="eastAsia"/>
          <w:sz w:val="24"/>
          <w:szCs w:val="24"/>
        </w:rPr>
        <w:t>只。沿着麻醉后大鼠烧伤创面边缘扩展</w:t>
      </w:r>
      <w:r w:rsidRPr="007C4232">
        <w:rPr>
          <w:rFonts w:hint="eastAsia"/>
          <w:sz w:val="24"/>
          <w:szCs w:val="24"/>
        </w:rPr>
        <w:t>5</w:t>
      </w:r>
      <w:r w:rsidRPr="007C4232">
        <w:rPr>
          <w:rFonts w:hint="eastAsia"/>
          <w:sz w:val="24"/>
          <w:szCs w:val="24"/>
        </w:rPr>
        <w:t>毫米切取组织，厚度为皮肤全层和深部肌局部。甲醛固定，常规石蜡切片，包埋面是带有创伤边缘的烧伤中心，切厚</w:t>
      </w:r>
      <w:r w:rsidRPr="007C4232">
        <w:rPr>
          <w:rFonts w:hint="eastAsia"/>
          <w:sz w:val="24"/>
          <w:szCs w:val="24"/>
        </w:rPr>
        <w:t>6-7 µm</w:t>
      </w:r>
      <w:r w:rsidRPr="007C4232">
        <w:rPr>
          <w:rFonts w:hint="eastAsia"/>
          <w:sz w:val="24"/>
          <w:szCs w:val="24"/>
        </w:rPr>
        <w:t>。经</w:t>
      </w:r>
      <w:r w:rsidRPr="007C4232">
        <w:rPr>
          <w:rFonts w:hint="eastAsia"/>
          <w:sz w:val="24"/>
          <w:szCs w:val="24"/>
        </w:rPr>
        <w:t>HE</w:t>
      </w:r>
      <w:r w:rsidRPr="007C4232">
        <w:rPr>
          <w:rFonts w:hint="eastAsia"/>
          <w:sz w:val="24"/>
          <w:szCs w:val="24"/>
        </w:rPr>
        <w:t>、天狼星红、</w:t>
      </w:r>
      <w:r w:rsidRPr="007C4232">
        <w:rPr>
          <w:rFonts w:hint="eastAsia"/>
          <w:sz w:val="24"/>
          <w:szCs w:val="24"/>
        </w:rPr>
        <w:t>PCNA</w:t>
      </w:r>
      <w:r w:rsidRPr="007C4232">
        <w:rPr>
          <w:rFonts w:hint="eastAsia"/>
          <w:sz w:val="24"/>
          <w:szCs w:val="24"/>
        </w:rPr>
        <w:t>和</w:t>
      </w:r>
      <w:r w:rsidRPr="007C4232">
        <w:rPr>
          <w:rFonts w:hint="eastAsia"/>
          <w:sz w:val="24"/>
          <w:szCs w:val="24"/>
        </w:rPr>
        <w:t>KGF</w:t>
      </w:r>
      <w:r w:rsidRPr="007C4232">
        <w:rPr>
          <w:rFonts w:hint="eastAsia"/>
          <w:sz w:val="24"/>
          <w:szCs w:val="24"/>
        </w:rPr>
        <w:t>免疫组化染色，显微镜观察，用胶原容积分数、</w:t>
      </w:r>
      <w:r w:rsidRPr="007C4232">
        <w:rPr>
          <w:rFonts w:hint="eastAsia"/>
          <w:sz w:val="24"/>
          <w:szCs w:val="24"/>
        </w:rPr>
        <w:t>PCNA</w:t>
      </w:r>
      <w:r w:rsidRPr="007C4232">
        <w:rPr>
          <w:rFonts w:hint="eastAsia"/>
          <w:sz w:val="24"/>
          <w:szCs w:val="24"/>
        </w:rPr>
        <w:t>和</w:t>
      </w:r>
      <w:r w:rsidRPr="007C4232">
        <w:rPr>
          <w:rFonts w:hint="eastAsia"/>
          <w:sz w:val="24"/>
          <w:szCs w:val="24"/>
        </w:rPr>
        <w:t>KGF</w:t>
      </w:r>
      <w:r w:rsidRPr="007C4232">
        <w:rPr>
          <w:rFonts w:hint="eastAsia"/>
          <w:sz w:val="24"/>
          <w:szCs w:val="24"/>
        </w:rPr>
        <w:t>阳性细胞率进行半定量和统计学分析。</w:t>
      </w:r>
    </w:p>
    <w:p w:rsidR="00CD6EC5" w:rsidRPr="007C4232" w:rsidRDefault="00CD6EC5" w:rsidP="00CD6EC5">
      <w:pPr>
        <w:spacing w:line="220" w:lineRule="atLeast"/>
        <w:rPr>
          <w:rFonts w:ascii="黑体" w:eastAsia="黑体" w:hAnsi="黑体"/>
          <w:sz w:val="24"/>
          <w:szCs w:val="24"/>
        </w:rPr>
      </w:pPr>
      <w:r w:rsidRPr="007C4232">
        <w:rPr>
          <w:rFonts w:ascii="黑体" w:eastAsia="黑体" w:hAnsi="黑体" w:hint="eastAsia"/>
          <w:sz w:val="24"/>
          <w:szCs w:val="24"/>
        </w:rPr>
        <w:t xml:space="preserve">结果  </w:t>
      </w:r>
    </w:p>
    <w:p w:rsidR="00CD6EC5" w:rsidRPr="007C4232" w:rsidRDefault="00CD6EC5" w:rsidP="00CD6EC5">
      <w:pPr>
        <w:spacing w:line="220" w:lineRule="atLeast"/>
        <w:rPr>
          <w:sz w:val="24"/>
          <w:szCs w:val="24"/>
        </w:rPr>
      </w:pPr>
      <w:r w:rsidRPr="007C4232">
        <w:rPr>
          <w:rFonts w:hint="eastAsia"/>
          <w:sz w:val="24"/>
          <w:szCs w:val="24"/>
        </w:rPr>
        <w:t>1.</w:t>
      </w:r>
      <w:r w:rsidRPr="007C4232">
        <w:rPr>
          <w:rFonts w:hint="eastAsia"/>
          <w:sz w:val="24"/>
          <w:szCs w:val="24"/>
        </w:rPr>
        <w:t>深</w:t>
      </w:r>
      <w:r w:rsidRPr="007C4232">
        <w:rPr>
          <w:rFonts w:hint="eastAsia"/>
          <w:sz w:val="24"/>
          <w:szCs w:val="24"/>
        </w:rPr>
        <w:t>II</w:t>
      </w:r>
      <w:r w:rsidRPr="007C4232">
        <w:rPr>
          <w:rFonts w:hint="eastAsia"/>
          <w:sz w:val="24"/>
          <w:szCs w:val="24"/>
        </w:rPr>
        <w:t>°烧伤模型的判定</w:t>
      </w:r>
      <w:r w:rsidRPr="007C4232">
        <w:rPr>
          <w:rFonts w:hint="eastAsia"/>
          <w:b/>
          <w:sz w:val="24"/>
          <w:szCs w:val="24"/>
        </w:rPr>
        <w:t xml:space="preserve"> </w:t>
      </w:r>
      <w:r w:rsidRPr="007C4232">
        <w:rPr>
          <w:rFonts w:hint="eastAsia"/>
          <w:sz w:val="24"/>
          <w:szCs w:val="24"/>
        </w:rPr>
        <w:t xml:space="preserve"> </w:t>
      </w:r>
      <w:r w:rsidRPr="007C4232">
        <w:rPr>
          <w:rFonts w:hint="eastAsia"/>
          <w:sz w:val="24"/>
          <w:szCs w:val="24"/>
        </w:rPr>
        <w:t>烧伤区域皮肤变薄，表皮坏死，成岛状残留；损伤表皮、部分真皮和真皮中的皮肤附属器，提示大鼠深</w:t>
      </w:r>
      <w:r w:rsidRPr="007C4232">
        <w:rPr>
          <w:rFonts w:hint="eastAsia"/>
          <w:sz w:val="24"/>
          <w:szCs w:val="24"/>
        </w:rPr>
        <w:t>II</w:t>
      </w:r>
      <w:r w:rsidRPr="007C4232">
        <w:rPr>
          <w:rFonts w:hint="eastAsia"/>
          <w:sz w:val="24"/>
          <w:szCs w:val="24"/>
        </w:rPr>
        <w:t>°度烧伤模型建立成功。</w:t>
      </w:r>
    </w:p>
    <w:p w:rsidR="00CD6EC5" w:rsidRPr="007C4232" w:rsidRDefault="00CD6EC5" w:rsidP="00CD6EC5">
      <w:pPr>
        <w:spacing w:line="220" w:lineRule="atLeast"/>
        <w:rPr>
          <w:sz w:val="24"/>
          <w:szCs w:val="24"/>
        </w:rPr>
      </w:pPr>
      <w:r w:rsidRPr="007C4232">
        <w:rPr>
          <w:rFonts w:hint="eastAsia"/>
          <w:sz w:val="24"/>
          <w:szCs w:val="24"/>
        </w:rPr>
        <w:lastRenderedPageBreak/>
        <w:t>2.</w:t>
      </w:r>
      <w:r w:rsidRPr="007C4232">
        <w:rPr>
          <w:rFonts w:hint="eastAsia"/>
          <w:sz w:val="24"/>
          <w:szCs w:val="24"/>
        </w:rPr>
        <w:t>肝素联合纳米银抗菌凝胶对深</w:t>
      </w:r>
      <w:r w:rsidRPr="007C4232">
        <w:rPr>
          <w:rFonts w:hint="eastAsia"/>
          <w:sz w:val="24"/>
          <w:szCs w:val="24"/>
        </w:rPr>
        <w:t>II</w:t>
      </w:r>
      <w:r w:rsidRPr="007C4232">
        <w:rPr>
          <w:rFonts w:hint="eastAsia"/>
          <w:sz w:val="24"/>
          <w:szCs w:val="24"/>
        </w:rPr>
        <w:t>°烧伤大鼠一般情况的影响</w:t>
      </w:r>
      <w:r w:rsidRPr="007C4232">
        <w:rPr>
          <w:rFonts w:hint="eastAsia"/>
          <w:sz w:val="24"/>
          <w:szCs w:val="24"/>
        </w:rPr>
        <w:t xml:space="preserve">  </w:t>
      </w:r>
      <w:r w:rsidRPr="007C4232">
        <w:rPr>
          <w:rFonts w:hint="eastAsia"/>
          <w:sz w:val="24"/>
          <w:szCs w:val="24"/>
        </w:rPr>
        <w:t>烧伤大鼠</w:t>
      </w:r>
      <w:r w:rsidRPr="007C4232">
        <w:rPr>
          <w:rFonts w:hint="eastAsia"/>
          <w:sz w:val="24"/>
          <w:szCs w:val="24"/>
        </w:rPr>
        <w:t>100%</w:t>
      </w:r>
      <w:r w:rsidRPr="007C4232">
        <w:rPr>
          <w:rFonts w:hint="eastAsia"/>
          <w:sz w:val="24"/>
          <w:szCs w:val="24"/>
        </w:rPr>
        <w:t>存活，精神、饮食和大小便未发现异常，体重逐渐增加。伤后</w:t>
      </w:r>
      <w:r w:rsidRPr="007C4232">
        <w:rPr>
          <w:rFonts w:hint="eastAsia"/>
          <w:sz w:val="24"/>
          <w:szCs w:val="24"/>
        </w:rPr>
        <w:t>14d</w:t>
      </w:r>
      <w:r w:rsidRPr="007C4232">
        <w:rPr>
          <w:rFonts w:hint="eastAsia"/>
          <w:sz w:val="24"/>
          <w:szCs w:val="24"/>
        </w:rPr>
        <w:t>，肝素组和纳米银组体重高于模型组（</w:t>
      </w:r>
      <w:r w:rsidRPr="007C4232">
        <w:rPr>
          <w:rFonts w:hint="eastAsia"/>
          <w:sz w:val="24"/>
          <w:szCs w:val="24"/>
        </w:rPr>
        <w:t>P&lt;0.05</w:t>
      </w:r>
      <w:r w:rsidRPr="007C4232">
        <w:rPr>
          <w:rFonts w:hint="eastAsia"/>
          <w:sz w:val="24"/>
          <w:szCs w:val="24"/>
        </w:rPr>
        <w:t>），联合用药组明显重于模型组、无菌包扎组、纳米银组和肝素组（</w:t>
      </w:r>
      <w:r w:rsidRPr="007C4232">
        <w:rPr>
          <w:rFonts w:hint="eastAsia"/>
          <w:sz w:val="24"/>
          <w:szCs w:val="24"/>
        </w:rPr>
        <w:t>P&lt;0.05</w:t>
      </w:r>
      <w:r w:rsidRPr="007C4232">
        <w:rPr>
          <w:rFonts w:hint="eastAsia"/>
          <w:sz w:val="24"/>
          <w:szCs w:val="24"/>
        </w:rPr>
        <w:t>），并直至愈合。提示肝素、纳米银可能缓解烧伤局部不适，联合用药效果更好。</w:t>
      </w:r>
    </w:p>
    <w:p w:rsidR="00CD6EC5" w:rsidRPr="007C4232" w:rsidRDefault="00CD6EC5" w:rsidP="00CD6EC5">
      <w:pPr>
        <w:spacing w:line="220" w:lineRule="atLeast"/>
        <w:rPr>
          <w:sz w:val="24"/>
          <w:szCs w:val="24"/>
        </w:rPr>
      </w:pPr>
      <w:r w:rsidRPr="007C4232">
        <w:rPr>
          <w:rFonts w:hint="eastAsia"/>
          <w:sz w:val="24"/>
          <w:szCs w:val="24"/>
        </w:rPr>
        <w:t>3.</w:t>
      </w:r>
      <w:r w:rsidRPr="007C4232">
        <w:rPr>
          <w:rFonts w:hint="eastAsia"/>
          <w:sz w:val="24"/>
          <w:szCs w:val="24"/>
        </w:rPr>
        <w:t>肝素联合纳米银抗菌凝胶对大鼠深Ⅱ°烧伤创面的影响</w:t>
      </w:r>
      <w:r w:rsidRPr="007C4232">
        <w:rPr>
          <w:rFonts w:hint="eastAsia"/>
          <w:sz w:val="24"/>
          <w:szCs w:val="24"/>
        </w:rPr>
        <w:t xml:space="preserve">  </w:t>
      </w:r>
      <w:r w:rsidRPr="007C4232">
        <w:rPr>
          <w:rFonts w:hint="eastAsia"/>
          <w:sz w:val="24"/>
          <w:szCs w:val="24"/>
        </w:rPr>
        <w:t>各组大鼠深Ⅱ°烧伤创面均未发现感染，创面逐步愈合，基本愈合的时间各组不一，联合用药组愈合最早，其次是肝素组，继之为纳米银组和无菌包扎组，模型组愈合时间最晚（</w:t>
      </w:r>
      <w:r w:rsidRPr="007C4232">
        <w:rPr>
          <w:rFonts w:hint="eastAsia"/>
          <w:sz w:val="24"/>
          <w:szCs w:val="24"/>
        </w:rPr>
        <w:t>P&lt;0.05</w:t>
      </w:r>
      <w:r w:rsidRPr="007C4232">
        <w:rPr>
          <w:rFonts w:hint="eastAsia"/>
          <w:sz w:val="24"/>
          <w:szCs w:val="24"/>
        </w:rPr>
        <w:t>）。</w:t>
      </w:r>
    </w:p>
    <w:p w:rsidR="00CD6EC5" w:rsidRPr="007C4232" w:rsidRDefault="00CD6EC5" w:rsidP="00CD6EC5">
      <w:pPr>
        <w:spacing w:line="220" w:lineRule="atLeast"/>
        <w:rPr>
          <w:sz w:val="24"/>
          <w:szCs w:val="24"/>
        </w:rPr>
      </w:pPr>
      <w:r w:rsidRPr="007C4232">
        <w:rPr>
          <w:rFonts w:hint="eastAsia"/>
          <w:sz w:val="24"/>
          <w:szCs w:val="24"/>
        </w:rPr>
        <w:t>4.</w:t>
      </w:r>
      <w:r w:rsidRPr="007C4232">
        <w:rPr>
          <w:rFonts w:hint="eastAsia"/>
          <w:sz w:val="24"/>
          <w:szCs w:val="24"/>
        </w:rPr>
        <w:t>肝素联合纳米银抗菌凝胶对大鼠烧伤创面的组织病理学影响</w:t>
      </w:r>
      <w:r w:rsidRPr="007C4232">
        <w:rPr>
          <w:rFonts w:hint="eastAsia"/>
          <w:sz w:val="24"/>
          <w:szCs w:val="24"/>
        </w:rPr>
        <w:t xml:space="preserve">  </w:t>
      </w:r>
      <w:r w:rsidRPr="007C4232">
        <w:rPr>
          <w:rFonts w:hint="eastAsia"/>
          <w:sz w:val="24"/>
          <w:szCs w:val="24"/>
        </w:rPr>
        <w:t>各组大鼠创面随着时间推移，渗出减少，表皮及其附属器、真皮都在修复。联合用药组</w:t>
      </w:r>
      <w:r w:rsidRPr="007C4232">
        <w:rPr>
          <w:rFonts w:hint="eastAsia"/>
          <w:sz w:val="24"/>
          <w:szCs w:val="24"/>
        </w:rPr>
        <w:t>4d</w:t>
      </w:r>
      <w:r w:rsidRPr="007C4232">
        <w:rPr>
          <w:rFonts w:hint="eastAsia"/>
          <w:sz w:val="24"/>
          <w:szCs w:val="24"/>
        </w:rPr>
        <w:t>时炎症反应较轻，</w:t>
      </w:r>
      <w:r w:rsidRPr="007C4232">
        <w:rPr>
          <w:rFonts w:hint="eastAsia"/>
          <w:sz w:val="24"/>
          <w:szCs w:val="24"/>
        </w:rPr>
        <w:t>21d</w:t>
      </w:r>
      <w:r w:rsidRPr="007C4232">
        <w:rPr>
          <w:rFonts w:hint="eastAsia"/>
          <w:sz w:val="24"/>
          <w:szCs w:val="24"/>
        </w:rPr>
        <w:t>时修复接近正常对照组结构，愈合时皮肤附属器出现。</w:t>
      </w:r>
      <w:r w:rsidRPr="007C4232">
        <w:rPr>
          <w:rFonts w:hint="eastAsia"/>
          <w:sz w:val="24"/>
          <w:szCs w:val="24"/>
        </w:rPr>
        <w:t xml:space="preserve"> </w:t>
      </w:r>
    </w:p>
    <w:p w:rsidR="00CD6EC5" w:rsidRPr="007C4232" w:rsidRDefault="00CD6EC5" w:rsidP="00CD6EC5">
      <w:pPr>
        <w:spacing w:line="220" w:lineRule="atLeast"/>
        <w:rPr>
          <w:sz w:val="24"/>
          <w:szCs w:val="24"/>
        </w:rPr>
      </w:pPr>
      <w:r w:rsidRPr="007C4232">
        <w:rPr>
          <w:rFonts w:hint="eastAsia"/>
          <w:sz w:val="24"/>
          <w:szCs w:val="24"/>
        </w:rPr>
        <w:t>5.</w:t>
      </w:r>
      <w:r w:rsidRPr="007C4232">
        <w:rPr>
          <w:rFonts w:hint="eastAsia"/>
          <w:sz w:val="24"/>
          <w:szCs w:val="24"/>
        </w:rPr>
        <w:t>肝素联合纳米银抗菌凝胶对大鼠烧伤创面的胶原纤维影响</w:t>
      </w:r>
      <w:r w:rsidRPr="007C4232">
        <w:rPr>
          <w:rFonts w:hint="eastAsia"/>
          <w:sz w:val="24"/>
          <w:szCs w:val="24"/>
        </w:rPr>
        <w:t xml:space="preserve">  </w:t>
      </w:r>
      <w:r w:rsidRPr="007C4232">
        <w:rPr>
          <w:rFonts w:hint="eastAsia"/>
          <w:sz w:val="24"/>
          <w:szCs w:val="24"/>
        </w:rPr>
        <w:t>天狼星红染色的胶原纤维呈现红色。在</w:t>
      </w:r>
      <w:r w:rsidRPr="007C4232">
        <w:rPr>
          <w:rFonts w:hint="eastAsia"/>
          <w:sz w:val="24"/>
          <w:szCs w:val="24"/>
        </w:rPr>
        <w:t>4d</w:t>
      </w:r>
      <w:r w:rsidRPr="007C4232">
        <w:rPr>
          <w:rFonts w:hint="eastAsia"/>
          <w:sz w:val="24"/>
          <w:szCs w:val="24"/>
        </w:rPr>
        <w:t>时，联合用药组的胶原纤维量低于模型组、无菌包扎组、纳米银组和肝素组（</w:t>
      </w:r>
      <w:r w:rsidRPr="007C4232">
        <w:rPr>
          <w:rFonts w:hint="eastAsia"/>
          <w:sz w:val="24"/>
          <w:szCs w:val="24"/>
        </w:rPr>
        <w:t>P&lt; 0.05</w:t>
      </w:r>
      <w:r w:rsidRPr="007C4232">
        <w:rPr>
          <w:rFonts w:hint="eastAsia"/>
          <w:sz w:val="24"/>
          <w:szCs w:val="24"/>
        </w:rPr>
        <w:t>）。在</w:t>
      </w:r>
      <w:r w:rsidRPr="007C4232">
        <w:rPr>
          <w:rFonts w:hint="eastAsia"/>
          <w:sz w:val="24"/>
          <w:szCs w:val="24"/>
        </w:rPr>
        <w:t>14d</w:t>
      </w:r>
      <w:r w:rsidRPr="007C4232">
        <w:rPr>
          <w:rFonts w:hint="eastAsia"/>
          <w:sz w:val="24"/>
          <w:szCs w:val="24"/>
        </w:rPr>
        <w:t>时，联合用药组低于模型组、无菌包扎组、纳米银组（</w:t>
      </w:r>
      <w:r w:rsidRPr="007C4232">
        <w:rPr>
          <w:rFonts w:hint="eastAsia"/>
          <w:sz w:val="24"/>
          <w:szCs w:val="24"/>
        </w:rPr>
        <w:t>P&lt; 0.05</w:t>
      </w:r>
      <w:r w:rsidRPr="007C4232">
        <w:rPr>
          <w:rFonts w:hint="eastAsia"/>
          <w:sz w:val="24"/>
          <w:szCs w:val="24"/>
        </w:rPr>
        <w:t>），和肝素组无差异；肝素组低于模型组（</w:t>
      </w:r>
      <w:r w:rsidRPr="007C4232">
        <w:rPr>
          <w:rFonts w:hint="eastAsia"/>
          <w:sz w:val="24"/>
          <w:szCs w:val="24"/>
        </w:rPr>
        <w:t>P&lt; 0.05</w:t>
      </w:r>
      <w:r w:rsidRPr="007C4232">
        <w:rPr>
          <w:rFonts w:hint="eastAsia"/>
          <w:sz w:val="24"/>
          <w:szCs w:val="24"/>
        </w:rPr>
        <w:t>）。在</w:t>
      </w:r>
      <w:r w:rsidRPr="007C4232">
        <w:rPr>
          <w:rFonts w:hint="eastAsia"/>
          <w:sz w:val="24"/>
          <w:szCs w:val="24"/>
        </w:rPr>
        <w:t>21d</w:t>
      </w:r>
      <w:r w:rsidRPr="007C4232">
        <w:rPr>
          <w:rFonts w:hint="eastAsia"/>
          <w:sz w:val="24"/>
          <w:szCs w:val="24"/>
        </w:rPr>
        <w:t>和愈合时，各组的胶原蛋白之间无明显差异。在愈合过程中，胶原纤维量随伤后时间的延长呈减少趋势，胶原纤维量变化由小到大依次是：联合用药组、肝素组、纳米银组、无菌包扎组、模型组。</w:t>
      </w:r>
    </w:p>
    <w:p w:rsidR="00CD6EC5" w:rsidRPr="007C4232" w:rsidRDefault="00CD6EC5" w:rsidP="00CD6EC5">
      <w:pPr>
        <w:spacing w:line="220" w:lineRule="atLeast"/>
        <w:rPr>
          <w:sz w:val="24"/>
          <w:szCs w:val="24"/>
        </w:rPr>
      </w:pPr>
      <w:r w:rsidRPr="007C4232">
        <w:rPr>
          <w:rFonts w:hint="eastAsia"/>
          <w:sz w:val="24"/>
          <w:szCs w:val="24"/>
        </w:rPr>
        <w:t>6.</w:t>
      </w:r>
      <w:r w:rsidRPr="007C4232">
        <w:rPr>
          <w:rFonts w:hint="eastAsia"/>
          <w:sz w:val="24"/>
          <w:szCs w:val="24"/>
        </w:rPr>
        <w:t>肝素联合纳米银抗菌凝胶对大鼠烧伤表皮</w:t>
      </w:r>
      <w:r w:rsidRPr="007C4232">
        <w:rPr>
          <w:rFonts w:hint="eastAsia"/>
          <w:sz w:val="24"/>
          <w:szCs w:val="24"/>
        </w:rPr>
        <w:t>KGF</w:t>
      </w:r>
      <w:r w:rsidRPr="007C4232">
        <w:rPr>
          <w:rFonts w:hint="eastAsia"/>
          <w:sz w:val="24"/>
          <w:szCs w:val="24"/>
        </w:rPr>
        <w:t>的影响</w:t>
      </w:r>
      <w:r w:rsidRPr="007C4232">
        <w:rPr>
          <w:rFonts w:hint="eastAsia"/>
          <w:sz w:val="24"/>
          <w:szCs w:val="24"/>
        </w:rPr>
        <w:t xml:space="preserve">  KGF</w:t>
      </w:r>
      <w:r w:rsidRPr="007C4232">
        <w:rPr>
          <w:rFonts w:hint="eastAsia"/>
          <w:sz w:val="24"/>
          <w:szCs w:val="24"/>
        </w:rPr>
        <w:t>阳性位于细胞质，呈棕黄色细颗粒状。模型组</w:t>
      </w:r>
      <w:r w:rsidRPr="007C4232">
        <w:rPr>
          <w:rFonts w:hint="eastAsia"/>
          <w:sz w:val="24"/>
          <w:szCs w:val="24"/>
        </w:rPr>
        <w:t>KGF</w:t>
      </w:r>
      <w:r w:rsidRPr="007C4232">
        <w:rPr>
          <w:rFonts w:hint="eastAsia"/>
          <w:sz w:val="24"/>
          <w:szCs w:val="24"/>
        </w:rPr>
        <w:t>在</w:t>
      </w:r>
      <w:r w:rsidRPr="007C4232">
        <w:rPr>
          <w:rFonts w:hint="eastAsia"/>
          <w:sz w:val="24"/>
          <w:szCs w:val="24"/>
        </w:rPr>
        <w:t>4d</w:t>
      </w:r>
      <w:r w:rsidRPr="007C4232">
        <w:rPr>
          <w:rFonts w:hint="eastAsia"/>
          <w:sz w:val="24"/>
          <w:szCs w:val="24"/>
        </w:rPr>
        <w:t>时表达很低，在</w:t>
      </w:r>
      <w:r w:rsidRPr="007C4232">
        <w:rPr>
          <w:rFonts w:hint="eastAsia"/>
          <w:sz w:val="24"/>
          <w:szCs w:val="24"/>
        </w:rPr>
        <w:t>14d</w:t>
      </w:r>
      <w:r w:rsidRPr="007C4232">
        <w:rPr>
          <w:rFonts w:hint="eastAsia"/>
          <w:sz w:val="24"/>
          <w:szCs w:val="24"/>
        </w:rPr>
        <w:t>时表达增加，但低于正常对照组（</w:t>
      </w:r>
      <w:r w:rsidRPr="007C4232">
        <w:rPr>
          <w:rFonts w:hint="eastAsia"/>
          <w:sz w:val="24"/>
          <w:szCs w:val="24"/>
        </w:rPr>
        <w:t>P&lt;0.01</w:t>
      </w:r>
      <w:r w:rsidRPr="007C4232">
        <w:rPr>
          <w:rFonts w:hint="eastAsia"/>
          <w:sz w:val="24"/>
          <w:szCs w:val="24"/>
        </w:rPr>
        <w:t>），在愈合时接近于正常对照组。在</w:t>
      </w:r>
      <w:r w:rsidRPr="007C4232">
        <w:rPr>
          <w:rFonts w:hint="eastAsia"/>
          <w:sz w:val="24"/>
          <w:szCs w:val="24"/>
        </w:rPr>
        <w:t>4d</w:t>
      </w:r>
      <w:r w:rsidRPr="007C4232">
        <w:rPr>
          <w:rFonts w:hint="eastAsia"/>
          <w:sz w:val="24"/>
          <w:szCs w:val="24"/>
        </w:rPr>
        <w:t>时，联合用药组高于模型组、无菌包扎组、纳米银组和肝素组，肝素组高于模型组（</w:t>
      </w:r>
      <w:r w:rsidRPr="007C4232">
        <w:rPr>
          <w:rFonts w:hint="eastAsia"/>
          <w:sz w:val="24"/>
          <w:szCs w:val="24"/>
        </w:rPr>
        <w:t>P&lt;0.01</w:t>
      </w:r>
      <w:r w:rsidRPr="007C4232">
        <w:rPr>
          <w:rFonts w:hint="eastAsia"/>
          <w:sz w:val="24"/>
          <w:szCs w:val="24"/>
        </w:rPr>
        <w:t>）。在</w:t>
      </w:r>
      <w:r w:rsidRPr="007C4232">
        <w:rPr>
          <w:rFonts w:hint="eastAsia"/>
          <w:sz w:val="24"/>
          <w:szCs w:val="24"/>
        </w:rPr>
        <w:t>14d</w:t>
      </w:r>
      <w:r w:rsidRPr="007C4232">
        <w:rPr>
          <w:rFonts w:hint="eastAsia"/>
          <w:sz w:val="24"/>
          <w:szCs w:val="24"/>
        </w:rPr>
        <w:t>时，联合用药组、肝素组和纳米银组高于模型组（</w:t>
      </w:r>
      <w:r w:rsidRPr="007C4232">
        <w:rPr>
          <w:rFonts w:hint="eastAsia"/>
          <w:sz w:val="24"/>
          <w:szCs w:val="24"/>
        </w:rPr>
        <w:t>P&lt;0.05</w:t>
      </w:r>
      <w:r w:rsidRPr="007C4232">
        <w:rPr>
          <w:rFonts w:hint="eastAsia"/>
          <w:sz w:val="24"/>
          <w:szCs w:val="24"/>
        </w:rPr>
        <w:t>）。在</w:t>
      </w:r>
      <w:r w:rsidRPr="007C4232">
        <w:rPr>
          <w:rFonts w:hint="eastAsia"/>
          <w:sz w:val="24"/>
          <w:szCs w:val="24"/>
        </w:rPr>
        <w:t>21d</w:t>
      </w:r>
      <w:r w:rsidRPr="007C4232">
        <w:rPr>
          <w:rFonts w:hint="eastAsia"/>
          <w:sz w:val="24"/>
          <w:szCs w:val="24"/>
        </w:rPr>
        <w:t>和愈合时，各组相似，接近正常对照组。</w:t>
      </w:r>
    </w:p>
    <w:p w:rsidR="00CD6EC5" w:rsidRPr="007C4232" w:rsidRDefault="00CD6EC5" w:rsidP="00CD6EC5">
      <w:pPr>
        <w:spacing w:line="220" w:lineRule="atLeast"/>
        <w:rPr>
          <w:b/>
          <w:sz w:val="24"/>
          <w:szCs w:val="24"/>
        </w:rPr>
      </w:pPr>
      <w:r w:rsidRPr="007C4232">
        <w:rPr>
          <w:rFonts w:hint="eastAsia"/>
          <w:sz w:val="24"/>
          <w:szCs w:val="24"/>
        </w:rPr>
        <w:t>7</w:t>
      </w:r>
      <w:r w:rsidRPr="007C4232">
        <w:rPr>
          <w:rFonts w:hint="eastAsia"/>
          <w:sz w:val="24"/>
          <w:szCs w:val="24"/>
        </w:rPr>
        <w:t>肝素联合纳米银抗菌凝胶对大鼠烧伤创面细胞增殖的影响</w:t>
      </w:r>
      <w:r w:rsidRPr="007C4232">
        <w:rPr>
          <w:rFonts w:hint="eastAsia"/>
          <w:b/>
          <w:sz w:val="24"/>
          <w:szCs w:val="24"/>
        </w:rPr>
        <w:t xml:space="preserve"> </w:t>
      </w:r>
      <w:r w:rsidRPr="007C4232">
        <w:rPr>
          <w:rFonts w:hint="eastAsia"/>
          <w:sz w:val="24"/>
          <w:szCs w:val="24"/>
        </w:rPr>
        <w:t>PCNA</w:t>
      </w:r>
      <w:r w:rsidRPr="007C4232">
        <w:rPr>
          <w:rFonts w:hint="eastAsia"/>
          <w:sz w:val="24"/>
          <w:szCs w:val="24"/>
        </w:rPr>
        <w:t>阳性位于细胞核，呈棕褐色。表皮细胞的</w:t>
      </w:r>
      <w:r w:rsidRPr="007C4232">
        <w:rPr>
          <w:rFonts w:hint="eastAsia"/>
          <w:sz w:val="24"/>
          <w:szCs w:val="24"/>
        </w:rPr>
        <w:t>PCNA</w:t>
      </w:r>
      <w:r w:rsidRPr="007C4232">
        <w:rPr>
          <w:rFonts w:hint="eastAsia"/>
          <w:sz w:val="24"/>
          <w:szCs w:val="24"/>
        </w:rPr>
        <w:t>阳性率模型组在</w:t>
      </w:r>
      <w:r w:rsidRPr="007C4232">
        <w:rPr>
          <w:rFonts w:hint="eastAsia"/>
          <w:sz w:val="24"/>
          <w:szCs w:val="24"/>
        </w:rPr>
        <w:t>4d</w:t>
      </w:r>
      <w:r w:rsidRPr="007C4232">
        <w:rPr>
          <w:rFonts w:hint="eastAsia"/>
          <w:sz w:val="24"/>
          <w:szCs w:val="24"/>
        </w:rPr>
        <w:t>低于正常对照组（</w:t>
      </w:r>
      <w:r w:rsidRPr="007C4232">
        <w:rPr>
          <w:rFonts w:hint="eastAsia"/>
          <w:sz w:val="24"/>
          <w:szCs w:val="24"/>
        </w:rPr>
        <w:t>P&lt;0.05</w:t>
      </w:r>
      <w:r w:rsidRPr="007C4232">
        <w:rPr>
          <w:rFonts w:hint="eastAsia"/>
          <w:sz w:val="24"/>
          <w:szCs w:val="24"/>
        </w:rPr>
        <w:t>），</w:t>
      </w:r>
      <w:r w:rsidRPr="007C4232">
        <w:rPr>
          <w:rFonts w:hint="eastAsia"/>
          <w:sz w:val="24"/>
          <w:szCs w:val="24"/>
        </w:rPr>
        <w:t>14d</w:t>
      </w:r>
      <w:r w:rsidRPr="007C4232">
        <w:rPr>
          <w:rFonts w:hint="eastAsia"/>
          <w:sz w:val="24"/>
          <w:szCs w:val="24"/>
        </w:rPr>
        <w:t>高于正常对照组并持续至</w:t>
      </w:r>
      <w:r w:rsidRPr="007C4232">
        <w:rPr>
          <w:rFonts w:hint="eastAsia"/>
          <w:sz w:val="24"/>
          <w:szCs w:val="24"/>
        </w:rPr>
        <w:t>21d</w:t>
      </w:r>
      <w:r w:rsidRPr="007C4232">
        <w:rPr>
          <w:rFonts w:hint="eastAsia"/>
          <w:sz w:val="24"/>
          <w:szCs w:val="24"/>
        </w:rPr>
        <w:t>（</w:t>
      </w:r>
      <w:r w:rsidRPr="007C4232">
        <w:rPr>
          <w:rFonts w:hint="eastAsia"/>
          <w:sz w:val="24"/>
          <w:szCs w:val="24"/>
        </w:rPr>
        <w:t>P&lt;0.05</w:t>
      </w:r>
      <w:r w:rsidRPr="007C4232">
        <w:rPr>
          <w:rFonts w:hint="eastAsia"/>
          <w:sz w:val="24"/>
          <w:szCs w:val="24"/>
        </w:rPr>
        <w:t>），在愈合时接近于正常对照组。</w:t>
      </w:r>
      <w:r w:rsidRPr="007C4232">
        <w:rPr>
          <w:rFonts w:hint="eastAsia"/>
          <w:sz w:val="24"/>
          <w:szCs w:val="24"/>
        </w:rPr>
        <w:t>4d</w:t>
      </w:r>
      <w:r w:rsidRPr="007C4232">
        <w:rPr>
          <w:rFonts w:hint="eastAsia"/>
          <w:sz w:val="24"/>
          <w:szCs w:val="24"/>
        </w:rPr>
        <w:t>时，联合用药组、肝素组、纳米银组、无菌包扎组与模型组相似。</w:t>
      </w:r>
      <w:r w:rsidRPr="007C4232">
        <w:rPr>
          <w:rFonts w:hint="eastAsia"/>
          <w:sz w:val="24"/>
          <w:szCs w:val="24"/>
        </w:rPr>
        <w:t>14d</w:t>
      </w:r>
      <w:r w:rsidRPr="007C4232">
        <w:rPr>
          <w:rFonts w:hint="eastAsia"/>
          <w:sz w:val="24"/>
          <w:szCs w:val="24"/>
        </w:rPr>
        <w:t>时，联合用药组明显高于模型组、无菌包扎组、纳米银组（</w:t>
      </w:r>
      <w:r w:rsidRPr="007C4232">
        <w:rPr>
          <w:rFonts w:hint="eastAsia"/>
          <w:sz w:val="24"/>
          <w:szCs w:val="24"/>
        </w:rPr>
        <w:t>P&lt;0.01</w:t>
      </w:r>
      <w:r w:rsidRPr="007C4232">
        <w:rPr>
          <w:rFonts w:hint="eastAsia"/>
          <w:sz w:val="24"/>
          <w:szCs w:val="24"/>
        </w:rPr>
        <w:t>），和肝素组无差异；无菌包扎组、纳米银组和肝素组高于模型组（</w:t>
      </w:r>
      <w:r w:rsidRPr="007C4232">
        <w:rPr>
          <w:rFonts w:hint="eastAsia"/>
          <w:sz w:val="24"/>
          <w:szCs w:val="24"/>
        </w:rPr>
        <w:t>P&lt;0.05</w:t>
      </w:r>
      <w:r w:rsidRPr="007C4232">
        <w:rPr>
          <w:rFonts w:hint="eastAsia"/>
          <w:sz w:val="24"/>
          <w:szCs w:val="24"/>
        </w:rPr>
        <w:t>）。在</w:t>
      </w:r>
      <w:r w:rsidRPr="007C4232">
        <w:rPr>
          <w:rFonts w:hint="eastAsia"/>
          <w:sz w:val="24"/>
          <w:szCs w:val="24"/>
        </w:rPr>
        <w:lastRenderedPageBreak/>
        <w:t>21d</w:t>
      </w:r>
      <w:r w:rsidRPr="007C4232">
        <w:rPr>
          <w:rFonts w:hint="eastAsia"/>
          <w:sz w:val="24"/>
          <w:szCs w:val="24"/>
        </w:rPr>
        <w:t>时，联合用药组高于模型组、无菌包扎组、纳米银组（</w:t>
      </w:r>
      <w:r w:rsidRPr="007C4232">
        <w:rPr>
          <w:rFonts w:hint="eastAsia"/>
          <w:sz w:val="24"/>
          <w:szCs w:val="24"/>
        </w:rPr>
        <w:t>P&lt;0.05</w:t>
      </w:r>
      <w:r w:rsidRPr="007C4232">
        <w:rPr>
          <w:rFonts w:hint="eastAsia"/>
          <w:sz w:val="24"/>
          <w:szCs w:val="24"/>
        </w:rPr>
        <w:t>），和肝素组无差异；纳米银组、肝素组高于模型组（</w:t>
      </w:r>
      <w:r w:rsidRPr="007C4232">
        <w:rPr>
          <w:rFonts w:hint="eastAsia"/>
          <w:sz w:val="24"/>
          <w:szCs w:val="24"/>
        </w:rPr>
        <w:t>P&lt;0.05</w:t>
      </w:r>
      <w:r w:rsidRPr="007C4232">
        <w:rPr>
          <w:rFonts w:hint="eastAsia"/>
          <w:sz w:val="24"/>
          <w:szCs w:val="24"/>
        </w:rPr>
        <w:t>），无菌包扎组与模型组没有显著差异。在愈合时，各组相似，接近正常对照组。真皮细胞结缔组织的</w:t>
      </w:r>
      <w:r w:rsidRPr="007C4232">
        <w:rPr>
          <w:rFonts w:hint="eastAsia"/>
          <w:sz w:val="24"/>
          <w:szCs w:val="24"/>
        </w:rPr>
        <w:t>PCNA</w:t>
      </w:r>
      <w:r w:rsidRPr="007C4232">
        <w:rPr>
          <w:rFonts w:hint="eastAsia"/>
          <w:sz w:val="24"/>
          <w:szCs w:val="24"/>
        </w:rPr>
        <w:t>阳性率模型组在</w:t>
      </w:r>
      <w:r w:rsidRPr="007C4232">
        <w:rPr>
          <w:rFonts w:hint="eastAsia"/>
          <w:sz w:val="24"/>
          <w:szCs w:val="24"/>
        </w:rPr>
        <w:t>4d</w:t>
      </w:r>
      <w:r w:rsidRPr="007C4232">
        <w:rPr>
          <w:rFonts w:hint="eastAsia"/>
          <w:sz w:val="24"/>
          <w:szCs w:val="24"/>
        </w:rPr>
        <w:t>、</w:t>
      </w:r>
      <w:r w:rsidRPr="007C4232">
        <w:rPr>
          <w:rFonts w:hint="eastAsia"/>
          <w:sz w:val="24"/>
          <w:szCs w:val="24"/>
        </w:rPr>
        <w:t>14d</w:t>
      </w:r>
      <w:r w:rsidRPr="007C4232">
        <w:rPr>
          <w:rFonts w:hint="eastAsia"/>
          <w:sz w:val="24"/>
          <w:szCs w:val="24"/>
        </w:rPr>
        <w:t>明显低于正常对照组（</w:t>
      </w:r>
      <w:r w:rsidRPr="007C4232">
        <w:rPr>
          <w:rFonts w:hint="eastAsia"/>
          <w:sz w:val="24"/>
          <w:szCs w:val="24"/>
        </w:rPr>
        <w:t>P&lt;0.01</w:t>
      </w:r>
      <w:r w:rsidRPr="007C4232">
        <w:rPr>
          <w:rFonts w:hint="eastAsia"/>
          <w:sz w:val="24"/>
          <w:szCs w:val="24"/>
        </w:rPr>
        <w:t>），在</w:t>
      </w:r>
      <w:r w:rsidRPr="007C4232">
        <w:rPr>
          <w:rFonts w:hint="eastAsia"/>
          <w:sz w:val="24"/>
          <w:szCs w:val="24"/>
        </w:rPr>
        <w:t>21d</w:t>
      </w:r>
      <w:r w:rsidRPr="007C4232">
        <w:rPr>
          <w:rFonts w:hint="eastAsia"/>
          <w:sz w:val="24"/>
          <w:szCs w:val="24"/>
        </w:rPr>
        <w:t>、愈合时接近于正常对照组。</w:t>
      </w:r>
      <w:r w:rsidRPr="007C4232">
        <w:rPr>
          <w:rFonts w:hint="eastAsia"/>
          <w:sz w:val="24"/>
          <w:szCs w:val="24"/>
        </w:rPr>
        <w:t>4d</w:t>
      </w:r>
      <w:r w:rsidRPr="007C4232">
        <w:rPr>
          <w:rFonts w:hint="eastAsia"/>
          <w:sz w:val="24"/>
          <w:szCs w:val="24"/>
        </w:rPr>
        <w:t>时，联合用药组、肝素组、纳米银组和无菌包扎组与模型组相似。</w:t>
      </w:r>
      <w:r w:rsidRPr="007C4232">
        <w:rPr>
          <w:rFonts w:hint="eastAsia"/>
          <w:sz w:val="24"/>
          <w:szCs w:val="24"/>
        </w:rPr>
        <w:t>14d</w:t>
      </w:r>
      <w:r w:rsidRPr="007C4232">
        <w:rPr>
          <w:rFonts w:hint="eastAsia"/>
          <w:sz w:val="24"/>
          <w:szCs w:val="24"/>
        </w:rPr>
        <w:t>时，联合用药组和肝素组高于模型组（</w:t>
      </w:r>
      <w:r w:rsidRPr="007C4232">
        <w:rPr>
          <w:rFonts w:hint="eastAsia"/>
          <w:sz w:val="24"/>
          <w:szCs w:val="24"/>
        </w:rPr>
        <w:t>P&lt;0.05</w:t>
      </w:r>
      <w:r w:rsidRPr="007C4232">
        <w:rPr>
          <w:rFonts w:hint="eastAsia"/>
          <w:sz w:val="24"/>
          <w:szCs w:val="24"/>
        </w:rPr>
        <w:t>）。在</w:t>
      </w:r>
      <w:r w:rsidRPr="007C4232">
        <w:rPr>
          <w:rFonts w:hint="eastAsia"/>
          <w:sz w:val="24"/>
          <w:szCs w:val="24"/>
        </w:rPr>
        <w:t>21d</w:t>
      </w:r>
      <w:r w:rsidRPr="007C4232">
        <w:rPr>
          <w:rFonts w:hint="eastAsia"/>
          <w:sz w:val="24"/>
          <w:szCs w:val="24"/>
        </w:rPr>
        <w:t>时，联合用药组高于模型组、无菌包扎组、纳米银组、肝素组（</w:t>
      </w:r>
      <w:r w:rsidRPr="007C4232">
        <w:rPr>
          <w:rFonts w:hint="eastAsia"/>
          <w:sz w:val="24"/>
          <w:szCs w:val="24"/>
        </w:rPr>
        <w:t>P&lt;0.05</w:t>
      </w:r>
      <w:r w:rsidRPr="007C4232">
        <w:rPr>
          <w:rFonts w:hint="eastAsia"/>
          <w:sz w:val="24"/>
          <w:szCs w:val="24"/>
        </w:rPr>
        <w:t>）；在愈合时，相似于模型组。</w:t>
      </w:r>
    </w:p>
    <w:p w:rsidR="00CD6EC5" w:rsidRPr="007C4232" w:rsidRDefault="00CD6EC5" w:rsidP="00CD6EC5">
      <w:pPr>
        <w:spacing w:line="220" w:lineRule="atLeast"/>
        <w:rPr>
          <w:rFonts w:ascii="黑体" w:eastAsia="黑体" w:hAnsi="黑体"/>
          <w:sz w:val="24"/>
          <w:szCs w:val="24"/>
        </w:rPr>
      </w:pPr>
      <w:r w:rsidRPr="007C4232">
        <w:rPr>
          <w:rFonts w:ascii="黑体" w:eastAsia="黑体" w:hAnsi="黑体" w:hint="eastAsia"/>
          <w:sz w:val="24"/>
          <w:szCs w:val="24"/>
        </w:rPr>
        <w:t xml:space="preserve">结论 </w:t>
      </w:r>
    </w:p>
    <w:p w:rsidR="00CD6EC5" w:rsidRPr="007C4232" w:rsidRDefault="00CD6EC5" w:rsidP="00CD6EC5">
      <w:pPr>
        <w:spacing w:line="220" w:lineRule="atLeast"/>
        <w:rPr>
          <w:sz w:val="24"/>
          <w:szCs w:val="24"/>
        </w:rPr>
      </w:pPr>
      <w:r w:rsidRPr="007C4232">
        <w:rPr>
          <w:rFonts w:hint="eastAsia"/>
          <w:sz w:val="24"/>
          <w:szCs w:val="24"/>
        </w:rPr>
        <w:t xml:space="preserve">1. </w:t>
      </w:r>
      <w:r w:rsidRPr="007C4232">
        <w:rPr>
          <w:rFonts w:hint="eastAsia"/>
          <w:sz w:val="24"/>
          <w:szCs w:val="24"/>
        </w:rPr>
        <w:t>肝素联合纳米银抗菌凝胶促进大鼠皮肤深Ⅱ°烧伤创面愈合作用优于肝素或纳米银，肝素较纳米银有效。</w:t>
      </w:r>
    </w:p>
    <w:p w:rsidR="00CD6EC5" w:rsidRPr="007C4232" w:rsidRDefault="00CD6EC5" w:rsidP="00CD6EC5">
      <w:pPr>
        <w:spacing w:line="220" w:lineRule="atLeast"/>
        <w:rPr>
          <w:sz w:val="24"/>
          <w:szCs w:val="24"/>
        </w:rPr>
      </w:pPr>
      <w:r w:rsidRPr="007C4232">
        <w:rPr>
          <w:rFonts w:hint="eastAsia"/>
          <w:sz w:val="24"/>
          <w:szCs w:val="24"/>
        </w:rPr>
        <w:t>2.</w:t>
      </w:r>
      <w:r w:rsidRPr="007C4232">
        <w:rPr>
          <w:rFonts w:hint="eastAsia"/>
          <w:sz w:val="24"/>
          <w:szCs w:val="24"/>
        </w:rPr>
        <w:t>肝素、纳米银抗菌凝胶促进大鼠皮肤深Ⅱ°烧伤创面的愈合，可能与减缓创面胶原纤维的形成、促进角质细胞的形成和分化、诱导创面细胞增殖有关。</w:t>
      </w:r>
    </w:p>
    <w:p w:rsidR="004358AB" w:rsidRPr="007C4232" w:rsidRDefault="00CD6EC5" w:rsidP="00CD6EC5">
      <w:pPr>
        <w:spacing w:line="220" w:lineRule="atLeast"/>
        <w:rPr>
          <w:sz w:val="24"/>
          <w:szCs w:val="24"/>
        </w:rPr>
      </w:pPr>
      <w:r w:rsidRPr="007C4232">
        <w:rPr>
          <w:rFonts w:ascii="黑体" w:eastAsia="黑体" w:hAnsi="黑体" w:hint="eastAsia"/>
          <w:sz w:val="24"/>
          <w:szCs w:val="24"/>
        </w:rPr>
        <w:t>关键词</w:t>
      </w:r>
      <w:r w:rsidRPr="007C4232">
        <w:rPr>
          <w:rFonts w:hint="eastAsia"/>
          <w:sz w:val="24"/>
          <w:szCs w:val="24"/>
        </w:rPr>
        <w:t xml:space="preserve">  </w:t>
      </w:r>
      <w:r w:rsidRPr="007C4232">
        <w:rPr>
          <w:rFonts w:hint="eastAsia"/>
          <w:sz w:val="24"/>
          <w:szCs w:val="24"/>
        </w:rPr>
        <w:t>肝素；深Ⅱ°烧伤；创面愈合；角质</w:t>
      </w:r>
      <w:r w:rsidRPr="007C4232">
        <w:rPr>
          <w:rFonts w:hint="eastAsia"/>
          <w:sz w:val="24"/>
          <w:szCs w:val="24"/>
        </w:rPr>
        <w:t xml:space="preserve"> </w:t>
      </w:r>
      <w:r w:rsidRPr="007C4232">
        <w:rPr>
          <w:rFonts w:hint="eastAsia"/>
          <w:sz w:val="24"/>
          <w:szCs w:val="24"/>
        </w:rPr>
        <w:t>细胞生长因子；增殖细胞核抗原</w:t>
      </w:r>
    </w:p>
    <w:sectPr w:rsidR="004358AB" w:rsidRPr="007C4232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011" w:rsidRDefault="00C71011" w:rsidP="00CD6EC5">
      <w:pPr>
        <w:spacing w:after="0"/>
      </w:pPr>
      <w:r>
        <w:separator/>
      </w:r>
    </w:p>
  </w:endnote>
  <w:endnote w:type="continuationSeparator" w:id="0">
    <w:p w:rsidR="00C71011" w:rsidRDefault="00C71011" w:rsidP="00CD6EC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011" w:rsidRDefault="00C71011" w:rsidP="00CD6EC5">
      <w:pPr>
        <w:spacing w:after="0"/>
      </w:pPr>
      <w:r>
        <w:separator/>
      </w:r>
    </w:p>
  </w:footnote>
  <w:footnote w:type="continuationSeparator" w:id="0">
    <w:p w:rsidR="00C71011" w:rsidRDefault="00C71011" w:rsidP="00CD6EC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605F4"/>
    <w:rsid w:val="001816E7"/>
    <w:rsid w:val="00323B43"/>
    <w:rsid w:val="003D37D8"/>
    <w:rsid w:val="00426133"/>
    <w:rsid w:val="004358AB"/>
    <w:rsid w:val="007C4232"/>
    <w:rsid w:val="008B7726"/>
    <w:rsid w:val="009609F3"/>
    <w:rsid w:val="00C71011"/>
    <w:rsid w:val="00CD6EC5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6EC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6EC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6EC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6EC5"/>
    <w:rPr>
      <w:rFonts w:ascii="Tahoma" w:hAnsi="Tahoma"/>
      <w:sz w:val="18"/>
      <w:szCs w:val="18"/>
    </w:rPr>
  </w:style>
  <w:style w:type="paragraph" w:customStyle="1" w:styleId="p0">
    <w:name w:val="p0"/>
    <w:basedOn w:val="a"/>
    <w:rsid w:val="007C4232"/>
    <w:pPr>
      <w:adjustRightInd/>
      <w:snapToGrid/>
      <w:spacing w:after="0"/>
      <w:jc w:val="both"/>
    </w:pPr>
    <w:rPr>
      <w:rFonts w:ascii="Times New Roman" w:eastAsia="宋体" w:hAnsi="Times New Roman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349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2016-05-08T21:09:00Z</dcterms:modified>
</cp:coreProperties>
</file>