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jc w:val="center"/>
        <w:rPr>
          <w:bCs/>
          <w:sz w:val="30"/>
          <w:szCs w:val="30"/>
        </w:rPr>
      </w:pPr>
      <w:r>
        <w:rPr>
          <w:rFonts w:eastAsia="黑体"/>
          <w:sz w:val="32"/>
          <w:szCs w:val="32"/>
        </w:rPr>
        <w:t>苯甲醛氮芥吡啶酰腙及其铜配合物的抗肿瘤机制研究</w:t>
      </w:r>
      <w:r>
        <w:rPr>
          <w:bCs/>
          <w:sz w:val="30"/>
          <w:szCs w:val="30"/>
        </w:rPr>
        <w:t xml:space="preserve"> </w:t>
      </w:r>
    </w:p>
    <w:p>
      <w:pPr>
        <w:pStyle w:val="4"/>
        <w:spacing w:line="400" w:lineRule="exact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hAnsi="宋体"/>
          <w:bCs/>
          <w:sz w:val="24"/>
          <w:szCs w:val="24"/>
          <w:lang w:val="en-US" w:eastAsia="zh-CN"/>
        </w:rPr>
        <w:t xml:space="preserve">                                           </w:t>
      </w:r>
      <w:r>
        <w:rPr>
          <w:rFonts w:hint="eastAsia" w:ascii="Times New Roman" w:hAnsi="宋体" w:eastAsia="宋体" w:cs="宋体"/>
          <w:kern w:val="2"/>
          <w:sz w:val="24"/>
          <w:szCs w:val="24"/>
          <w:lang w:val="en-US" w:eastAsia="zh-CN" w:bidi="ar-SA"/>
        </w:rPr>
        <w:t xml:space="preserve">        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 xml:space="preserve">    研 究 生：杨莹丽</w:t>
      </w:r>
    </w:p>
    <w:p>
      <w:pPr>
        <w:pStyle w:val="4"/>
        <w:spacing w:line="400" w:lineRule="exact"/>
        <w:jc w:val="center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 xml:space="preserve"> 指导教师：李长正</w:t>
      </w:r>
    </w:p>
    <w:p>
      <w:pPr>
        <w:pStyle w:val="4"/>
        <w:spacing w:line="400" w:lineRule="exact"/>
        <w:jc w:val="center"/>
        <w:rPr>
          <w:rFonts w:hint="eastAsia" w:hAnsi="宋体"/>
          <w:bCs/>
          <w:sz w:val="24"/>
          <w:szCs w:val="24"/>
        </w:rPr>
      </w:pPr>
    </w:p>
    <w:p>
      <w:pPr>
        <w:jc w:val="center"/>
        <w:outlineLvl w:val="0"/>
        <w:rPr>
          <w:rFonts w:eastAsia="黑体"/>
          <w:sz w:val="30"/>
          <w:szCs w:val="30"/>
        </w:rPr>
      </w:pPr>
      <w:bookmarkStart w:id="0" w:name="_Toc446354288"/>
      <w:r>
        <w:rPr>
          <w:rFonts w:eastAsia="黑体"/>
          <w:sz w:val="30"/>
          <w:szCs w:val="30"/>
        </w:rPr>
        <w:t>摘 要</w:t>
      </w:r>
      <w:bookmarkEnd w:id="0"/>
    </w:p>
    <w:p>
      <w:pPr>
        <w:spacing w:line="360" w:lineRule="auto"/>
        <w:outlineLvl w:val="0"/>
        <w:rPr>
          <w:rFonts w:eastAsia="黑体"/>
          <w:sz w:val="28"/>
          <w:szCs w:val="28"/>
        </w:rPr>
      </w:pPr>
      <w:bookmarkStart w:id="1" w:name="_Toc446353960"/>
      <w:bookmarkStart w:id="2" w:name="_Toc446354291"/>
      <w:r>
        <w:rPr>
          <w:rFonts w:eastAsia="黑体"/>
          <w:sz w:val="28"/>
          <w:szCs w:val="28"/>
        </w:rPr>
        <w:t>目的</w:t>
      </w:r>
      <w:bookmarkEnd w:id="1"/>
      <w:bookmarkEnd w:id="2"/>
      <w:r>
        <w:rPr>
          <w:rFonts w:eastAsia="黑体"/>
          <w:sz w:val="28"/>
          <w:szCs w:val="28"/>
        </w:rPr>
        <w:t xml:space="preserve"> </w:t>
      </w:r>
    </w:p>
    <w:p>
      <w:pPr>
        <w:spacing w:line="360" w:lineRule="auto"/>
        <w:ind w:firstLine="480" w:firstLineChars="200"/>
        <w:outlineLvl w:val="0"/>
        <w:rPr>
          <w:rFonts w:hint="eastAsia" w:hAnsi="宋体" w:cs="宋体"/>
          <w:sz w:val="24"/>
        </w:rPr>
      </w:pPr>
      <w:bookmarkStart w:id="3" w:name="_Toc446354292"/>
      <w:bookmarkStart w:id="4" w:name="_Toc446353961"/>
      <w:r>
        <w:rPr>
          <w:rFonts w:hint="eastAsia" w:hAnsi="宋体" w:cs="宋体"/>
          <w:sz w:val="24"/>
        </w:rPr>
        <w:t>本研究探讨苯甲醛氮芥吡啶酰腙及其铜配合物对人肝癌</w:t>
      </w:r>
      <w:r>
        <w:rPr>
          <w:rFonts w:hint="eastAsia" w:cs="宋体"/>
          <w:sz w:val="24"/>
        </w:rPr>
        <w:t>HepG2</w:t>
      </w:r>
      <w:r>
        <w:rPr>
          <w:rFonts w:hint="eastAsia" w:hAnsi="宋体" w:cs="宋体"/>
          <w:sz w:val="24"/>
        </w:rPr>
        <w:t>细胞及人结肠癌</w:t>
      </w:r>
      <w:r>
        <w:rPr>
          <w:rFonts w:hint="eastAsia" w:cs="宋体"/>
          <w:sz w:val="24"/>
        </w:rPr>
        <w:t>HCT</w:t>
      </w:r>
      <w:r>
        <w:rPr>
          <w:rFonts w:hint="eastAsia" w:hAnsi="宋体" w:cs="宋体"/>
          <w:sz w:val="24"/>
        </w:rPr>
        <w:t>细胞的抑制作用及其抗肿瘤机制。</w:t>
      </w:r>
    </w:p>
    <w:bookmarkEnd w:id="3"/>
    <w:bookmarkEnd w:id="4"/>
    <w:p>
      <w:pPr>
        <w:spacing w:line="360" w:lineRule="auto"/>
        <w:outlineLvl w:val="0"/>
        <w:rPr>
          <w:rFonts w:eastAsia="黑体"/>
          <w:sz w:val="28"/>
          <w:szCs w:val="28"/>
        </w:rPr>
      </w:pPr>
      <w:bookmarkStart w:id="5" w:name="_Toc446353962"/>
      <w:bookmarkStart w:id="6" w:name="_Toc446354293"/>
      <w:r>
        <w:rPr>
          <w:rFonts w:eastAsia="黑体"/>
          <w:sz w:val="28"/>
          <w:szCs w:val="28"/>
        </w:rPr>
        <w:t>方法</w:t>
      </w:r>
      <w:bookmarkEnd w:id="5"/>
      <w:bookmarkEnd w:id="6"/>
      <w:r>
        <w:rPr>
          <w:rFonts w:eastAsia="黑体"/>
          <w:sz w:val="28"/>
          <w:szCs w:val="28"/>
        </w:rPr>
        <w:t xml:space="preserve">  </w:t>
      </w:r>
    </w:p>
    <w:p>
      <w:pPr>
        <w:spacing w:line="360" w:lineRule="auto"/>
        <w:ind w:firstLine="482" w:firstLineChars="200"/>
        <w:rPr>
          <w:sz w:val="24"/>
        </w:rPr>
      </w:pPr>
      <w:r>
        <w:rPr>
          <w:b/>
          <w:sz w:val="24"/>
        </w:rPr>
        <w:t>1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</w:t>
      </w:r>
      <w:r>
        <w:rPr>
          <w:sz w:val="24"/>
        </w:rPr>
        <w:t>通过质谱，核磁，鉴定合成的配体药物BNMPH结构。</w:t>
      </w:r>
    </w:p>
    <w:p>
      <w:pPr>
        <w:spacing w:line="360" w:lineRule="auto"/>
        <w:ind w:firstLine="480" w:firstLineChars="200"/>
        <w:rPr>
          <w:color w:val="000000"/>
          <w:sz w:val="24"/>
        </w:rPr>
      </w:pPr>
      <w:r>
        <w:rPr>
          <w:b/>
          <w:sz w:val="24"/>
        </w:rPr>
        <w:t>2</w:t>
      </w:r>
      <w:r>
        <w:rPr>
          <w:sz w:val="24"/>
        </w:rPr>
        <w:t xml:space="preserve"> 用琥珀酸脱氢酶活性（MTT法）检测BNMPH及其铜配合物对肝癌HepG2细胞和结肠癌HCT细胞的生长抑制作用</w:t>
      </w:r>
      <w:r>
        <w:rPr>
          <w:rFonts w:hint="eastAsia"/>
          <w:sz w:val="24"/>
          <w:lang w:eastAsia="zh-CN"/>
        </w:rPr>
        <w:t>，</w:t>
      </w:r>
      <w:r>
        <w:rPr>
          <w:rFonts w:hint="eastAsia" w:hAnsi="宋体" w:cs="宋体"/>
          <w:color w:val="000000"/>
          <w:sz w:val="24"/>
        </w:rPr>
        <w:t>并获得它们的半数抑制浓度（</w:t>
      </w:r>
      <w:r>
        <w:rPr>
          <w:rFonts w:hint="eastAsia" w:cs="宋体"/>
          <w:color w:val="000000"/>
          <w:sz w:val="24"/>
        </w:rPr>
        <w:t>IC</w:t>
      </w:r>
      <w:r>
        <w:rPr>
          <w:rFonts w:hint="eastAsia" w:cs="宋体"/>
          <w:color w:val="000000"/>
          <w:sz w:val="24"/>
          <w:vertAlign w:val="subscript"/>
        </w:rPr>
        <w:t>50</w:t>
      </w:r>
      <w:r>
        <w:rPr>
          <w:rFonts w:hint="eastAsia" w:hAnsi="宋体" w:cs="宋体"/>
          <w:color w:val="000000"/>
          <w:sz w:val="24"/>
        </w:rPr>
        <w:t>）</w:t>
      </w:r>
      <w:r>
        <w:rPr>
          <w:color w:val="000000"/>
          <w:sz w:val="24"/>
        </w:rPr>
        <w:t>。</w:t>
      </w:r>
    </w:p>
    <w:p>
      <w:pPr>
        <w:spacing w:line="360" w:lineRule="auto"/>
        <w:ind w:firstLine="482" w:firstLineChars="200"/>
        <w:rPr>
          <w:sz w:val="24"/>
        </w:rPr>
      </w:pPr>
      <w:r>
        <w:rPr>
          <w:b/>
          <w:sz w:val="24"/>
        </w:rPr>
        <w:t>3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</w:t>
      </w:r>
      <w:r>
        <w:rPr>
          <w:sz w:val="24"/>
        </w:rPr>
        <w:t>荧光光度法计测定BNMPH及其铜配合物在体内外产生ROS的能力。</w:t>
      </w:r>
    </w:p>
    <w:p>
      <w:pPr>
        <w:spacing w:line="360" w:lineRule="auto"/>
        <w:ind w:firstLine="482" w:firstLineChars="200"/>
        <w:rPr>
          <w:sz w:val="24"/>
        </w:rPr>
      </w:pPr>
      <w:r>
        <w:rPr>
          <w:b/>
          <w:sz w:val="24"/>
        </w:rPr>
        <w:t>4</w:t>
      </w:r>
      <w:r>
        <w:rPr>
          <w:sz w:val="24"/>
        </w:rPr>
        <w:t xml:space="preserve"> 单细胞电泳法检测BNMPH及其铜配合物对细胞内DNA损伤情况，用熔点法检测药物与DNA结合方式。  </w:t>
      </w:r>
    </w:p>
    <w:p>
      <w:pPr>
        <w:spacing w:line="360" w:lineRule="auto"/>
        <w:ind w:firstLine="482" w:firstLineChars="200"/>
        <w:rPr>
          <w:sz w:val="24"/>
        </w:rPr>
      </w:pPr>
      <w:r>
        <w:rPr>
          <w:b/>
          <w:sz w:val="24"/>
        </w:rPr>
        <w:t>5</w:t>
      </w:r>
      <w:r>
        <w:rPr>
          <w:sz w:val="24"/>
        </w:rPr>
        <w:t xml:space="preserve"> 用RT-PCR和Westen Blot法分别检测药物BNMPH及其铜配合物对凋亡相关基因及其蛋白表达的影响。</w:t>
      </w:r>
    </w:p>
    <w:p>
      <w:pPr>
        <w:spacing w:line="360" w:lineRule="auto"/>
        <w:ind w:firstLine="482" w:firstLineChars="200"/>
        <w:rPr>
          <w:sz w:val="24"/>
        </w:rPr>
      </w:pPr>
      <w:r>
        <w:rPr>
          <w:b/>
          <w:sz w:val="24"/>
        </w:rPr>
        <w:t>6</w:t>
      </w:r>
      <w:r>
        <w:rPr>
          <w:sz w:val="24"/>
        </w:rPr>
        <w:t xml:space="preserve"> 运用流式细胞术检测药物对肝癌HepG2细胞周期的影响。</w:t>
      </w:r>
    </w:p>
    <w:p>
      <w:pPr>
        <w:spacing w:line="360" w:lineRule="auto"/>
        <w:ind w:firstLine="482" w:firstLineChars="200"/>
        <w:rPr>
          <w:sz w:val="24"/>
        </w:rPr>
      </w:pPr>
      <w:r>
        <w:rPr>
          <w:b/>
          <w:sz w:val="24"/>
        </w:rPr>
        <w:t>7</w:t>
      </w:r>
      <w:r>
        <w:rPr>
          <w:sz w:val="24"/>
        </w:rPr>
        <w:t xml:space="preserve"> 用吖啶橙染色法及溶酶体红色荧光探针染色法测定药物BNMPH及其铜配合物对自噬及溶酶体通透性影响。</w:t>
      </w:r>
    </w:p>
    <w:p>
      <w:pPr>
        <w:spacing w:line="360" w:lineRule="auto"/>
        <w:outlineLvl w:val="0"/>
        <w:rPr>
          <w:rFonts w:eastAsia="黑体"/>
          <w:sz w:val="28"/>
          <w:szCs w:val="28"/>
        </w:rPr>
      </w:pPr>
      <w:bookmarkStart w:id="7" w:name="_Toc446354294"/>
      <w:bookmarkStart w:id="8" w:name="_Toc446353963"/>
      <w:r>
        <w:rPr>
          <w:rFonts w:eastAsia="黑体"/>
          <w:sz w:val="28"/>
          <w:szCs w:val="28"/>
        </w:rPr>
        <w:t>结果</w:t>
      </w:r>
      <w:bookmarkEnd w:id="7"/>
      <w:bookmarkEnd w:id="8"/>
      <w:r>
        <w:rPr>
          <w:rFonts w:eastAsia="黑体"/>
          <w:sz w:val="28"/>
          <w:szCs w:val="28"/>
        </w:rPr>
        <w:t xml:space="preserve">  </w:t>
      </w:r>
    </w:p>
    <w:p>
      <w:pPr>
        <w:spacing w:line="360" w:lineRule="auto"/>
        <w:ind w:firstLine="482" w:firstLineChars="200"/>
        <w:rPr>
          <w:sz w:val="24"/>
        </w:rPr>
      </w:pPr>
      <w:r>
        <w:rPr>
          <w:b/>
          <w:sz w:val="24"/>
        </w:rPr>
        <w:t>1</w:t>
      </w:r>
      <w:r>
        <w:rPr>
          <w:sz w:val="24"/>
        </w:rPr>
        <w:t xml:space="preserve"> 按文献所制备的BNMPH及其铜配合物性质稳定</w:t>
      </w:r>
      <w:r>
        <w:rPr>
          <w:rFonts w:hint="eastAsia"/>
          <w:sz w:val="24"/>
          <w:lang w:eastAsia="zh-CN"/>
        </w:rPr>
        <w:t>，</w:t>
      </w:r>
      <w:r>
        <w:rPr>
          <w:sz w:val="24"/>
        </w:rPr>
        <w:t>BNMPH-Cu用BNMPH与铜等比例混合所得</w:t>
      </w:r>
      <w:r>
        <w:rPr>
          <w:rFonts w:hint="eastAsia"/>
          <w:sz w:val="24"/>
          <w:lang w:eastAsia="zh-CN"/>
        </w:rPr>
        <w:t>，</w:t>
      </w:r>
      <w:r>
        <w:rPr>
          <w:rFonts w:hint="eastAsia"/>
          <w:sz w:val="24"/>
          <w:lang w:val="en-US" w:eastAsia="zh-CN"/>
        </w:rPr>
        <w:t>均</w:t>
      </w:r>
      <w:r>
        <w:rPr>
          <w:sz w:val="24"/>
        </w:rPr>
        <w:t>可溶于75%二甲基亚砜。</w:t>
      </w:r>
    </w:p>
    <w:p>
      <w:pPr>
        <w:spacing w:line="360" w:lineRule="auto"/>
        <w:ind w:firstLine="482" w:firstLineChars="200"/>
        <w:rPr>
          <w:sz w:val="24"/>
        </w:rPr>
      </w:pPr>
      <w:r>
        <w:rPr>
          <w:b/>
          <w:sz w:val="24"/>
        </w:rPr>
        <w:t xml:space="preserve">2 </w:t>
      </w:r>
      <w:r>
        <w:rPr>
          <w:sz w:val="24"/>
        </w:rPr>
        <w:t>BNMPH及其铜配合物对肝癌HepG2细胞及结肠癌HCT细胞均具有生长抑制作用(HepG2:  IC</w:t>
      </w:r>
      <w:r>
        <w:rPr>
          <w:sz w:val="28"/>
          <w:szCs w:val="28"/>
          <w:vertAlign w:val="subscript"/>
        </w:rPr>
        <w:t>50</w:t>
      </w:r>
      <w:r>
        <w:rPr>
          <w:sz w:val="24"/>
        </w:rPr>
        <w:t>=31.6±1.7µmol/L</w:t>
      </w:r>
      <w:r>
        <w:rPr>
          <w:rFonts w:hint="eastAsia"/>
          <w:sz w:val="24"/>
          <w:lang w:eastAsia="zh-CN"/>
        </w:rPr>
        <w:t>；</w:t>
      </w:r>
      <w:r>
        <w:rPr>
          <w:rFonts w:hint="eastAsia"/>
          <w:sz w:val="24"/>
          <w:lang w:val="en-US" w:eastAsia="zh-CN"/>
        </w:rPr>
        <w:t xml:space="preserve">  </w:t>
      </w:r>
      <w:r>
        <w:rPr>
          <w:sz w:val="24"/>
        </w:rPr>
        <w:t>HCT-116细胞:  IC</w:t>
      </w:r>
      <w:r>
        <w:rPr>
          <w:sz w:val="28"/>
          <w:szCs w:val="28"/>
          <w:vertAlign w:val="subscript"/>
        </w:rPr>
        <w:t>50</w:t>
      </w:r>
      <w:r>
        <w:rPr>
          <w:sz w:val="24"/>
        </w:rPr>
        <w:t>=44.1±1.5µmol/L)，其铜配合物表现出更强的肿瘤细胞生长抑制作用，毒性约是BNMPH的10倍。HepG2细胞:  IC</w:t>
      </w:r>
      <w:r>
        <w:rPr>
          <w:sz w:val="28"/>
          <w:szCs w:val="28"/>
          <w:vertAlign w:val="subscript"/>
        </w:rPr>
        <w:t>50</w:t>
      </w:r>
      <w:r>
        <w:rPr>
          <w:sz w:val="24"/>
        </w:rPr>
        <w:t>=3.5±0.8µmol/L;HCT-116细胞:  IC</w:t>
      </w:r>
      <w:r>
        <w:rPr>
          <w:sz w:val="28"/>
          <w:szCs w:val="28"/>
          <w:vertAlign w:val="subscript"/>
        </w:rPr>
        <w:t>50</w:t>
      </w:r>
      <w:r>
        <w:rPr>
          <w:sz w:val="24"/>
        </w:rPr>
        <w:t>=4.5±0.5µmol/L）</w:t>
      </w:r>
      <w:r>
        <w:rPr>
          <w:rFonts w:hint="eastAsia"/>
          <w:sz w:val="24"/>
          <w:lang w:eastAsia="zh-CN"/>
        </w:rPr>
        <w:t>，</w:t>
      </w:r>
      <w:r>
        <w:rPr>
          <w:rFonts w:hint="eastAsia"/>
          <w:sz w:val="24"/>
          <w:lang w:val="en-US" w:eastAsia="zh-CN"/>
        </w:rPr>
        <w:t>差异具有统计学意义</w:t>
      </w:r>
      <w:r>
        <w:rPr>
          <w:color w:val="000000"/>
          <w:sz w:val="24"/>
        </w:rPr>
        <w:t>（</w:t>
      </w:r>
      <w:r>
        <w:rPr>
          <w:i/>
          <w:iCs/>
          <w:color w:val="000000"/>
          <w:sz w:val="24"/>
        </w:rPr>
        <w:t>P</w:t>
      </w:r>
      <w:r>
        <w:rPr>
          <w:color w:val="000000"/>
          <w:sz w:val="24"/>
        </w:rPr>
        <w:t>&lt;0.05）</w:t>
      </w:r>
      <w:r>
        <w:rPr>
          <w:sz w:val="24"/>
        </w:rPr>
        <w:t>。</w:t>
      </w:r>
    </w:p>
    <w:p>
      <w:pPr>
        <w:spacing w:line="360" w:lineRule="auto"/>
        <w:ind w:firstLine="482" w:firstLineChars="200"/>
        <w:rPr>
          <w:sz w:val="24"/>
        </w:rPr>
      </w:pPr>
      <w:r>
        <w:rPr>
          <w:b/>
          <w:sz w:val="24"/>
        </w:rPr>
        <w:t xml:space="preserve">3 </w:t>
      </w:r>
      <w:r>
        <w:rPr>
          <w:sz w:val="24"/>
        </w:rPr>
        <w:t>荧光法及活性氧检测试剂盒显示BNMPH及其铜配合物能促进体内外自由基的形成，其铜配合物在低浓度即可产生较强ROS作用，与其更强的细胞毒性一致。</w:t>
      </w:r>
    </w:p>
    <w:p>
      <w:pPr>
        <w:spacing w:line="360" w:lineRule="auto"/>
        <w:ind w:firstLine="482" w:firstLineChars="200"/>
        <w:rPr>
          <w:sz w:val="24"/>
        </w:rPr>
      </w:pPr>
      <w:r>
        <w:rPr>
          <w:b/>
          <w:sz w:val="24"/>
        </w:rPr>
        <w:t xml:space="preserve">4 </w:t>
      </w:r>
      <w:r>
        <w:rPr>
          <w:sz w:val="24"/>
        </w:rPr>
        <w:t>单细胞电泳法显示BNMPH及其铜配合物均可引起HepG2细胞内DNA断裂，其铜配合物在低浓度即可使大部分DNA碎片化；熔点法及荧光法显示BNMPH及其铜配合物主要以沟槽式或静电作用方式结合从而形成复合物。</w:t>
      </w:r>
    </w:p>
    <w:p>
      <w:pPr>
        <w:spacing w:line="360" w:lineRule="auto"/>
        <w:ind w:firstLine="482" w:firstLineChars="200"/>
        <w:rPr>
          <w:sz w:val="24"/>
        </w:rPr>
      </w:pPr>
      <w:r>
        <w:rPr>
          <w:b/>
          <w:sz w:val="24"/>
        </w:rPr>
        <w:t xml:space="preserve">5 </w:t>
      </w:r>
      <w:r>
        <w:rPr>
          <w:sz w:val="24"/>
        </w:rPr>
        <w:t>PCR及Westen Blot结果显示，凋亡相关蛋白活化,Bax和Caspase8表达升高，Bcl-2降低，同时周期相关蛋白cyclinD的降低</w:t>
      </w:r>
      <w:r>
        <w:rPr>
          <w:rFonts w:hint="eastAsia"/>
          <w:sz w:val="24"/>
          <w:lang w:eastAsia="zh-CN"/>
        </w:rPr>
        <w:t>。</w:t>
      </w:r>
    </w:p>
    <w:p>
      <w:pPr>
        <w:spacing w:line="360" w:lineRule="auto"/>
        <w:ind w:firstLine="482" w:firstLineChars="200"/>
        <w:rPr>
          <w:sz w:val="24"/>
        </w:rPr>
      </w:pPr>
      <w:r>
        <w:rPr>
          <w:b/>
          <w:sz w:val="24"/>
        </w:rPr>
        <w:t xml:space="preserve">6 </w:t>
      </w:r>
      <w:r>
        <w:rPr>
          <w:sz w:val="24"/>
        </w:rPr>
        <w:t>流式细胞术显示药物BNMPH及其铜配合物均能引起HepG2细胞周期S期阻滞，且呈明显剂量依赖关系。</w:t>
      </w:r>
    </w:p>
    <w:p>
      <w:pPr>
        <w:spacing w:line="360" w:lineRule="auto"/>
        <w:ind w:firstLine="482" w:firstLineChars="200"/>
        <w:rPr>
          <w:sz w:val="24"/>
        </w:rPr>
      </w:pPr>
      <w:r>
        <w:rPr>
          <w:b/>
          <w:sz w:val="24"/>
        </w:rPr>
        <w:t xml:space="preserve">7 </w:t>
      </w:r>
      <w:r>
        <w:rPr>
          <w:sz w:val="24"/>
        </w:rPr>
        <w:t>BNMPH及其铜配合物促进HepG2细胞自噬体形成，并可引起细胞内溶酶体堆积。</w:t>
      </w:r>
    </w:p>
    <w:p>
      <w:pPr>
        <w:spacing w:line="360" w:lineRule="auto"/>
        <w:outlineLvl w:val="0"/>
        <w:rPr>
          <w:rFonts w:eastAsia="黑体"/>
          <w:sz w:val="28"/>
          <w:szCs w:val="28"/>
        </w:rPr>
      </w:pPr>
      <w:bookmarkStart w:id="9" w:name="_Toc446353964"/>
      <w:bookmarkStart w:id="10" w:name="_Toc446354295"/>
      <w:r>
        <w:rPr>
          <w:rFonts w:eastAsia="黑体"/>
          <w:sz w:val="28"/>
          <w:szCs w:val="28"/>
        </w:rPr>
        <w:t>结论</w:t>
      </w:r>
      <w:bookmarkEnd w:id="9"/>
      <w:bookmarkEnd w:id="10"/>
      <w:r>
        <w:rPr>
          <w:rFonts w:eastAsia="黑体"/>
          <w:sz w:val="28"/>
          <w:szCs w:val="28"/>
        </w:rPr>
        <w:t xml:space="preserve">  </w:t>
      </w:r>
    </w:p>
    <w:p>
      <w:pPr>
        <w:spacing w:line="360" w:lineRule="auto"/>
        <w:ind w:firstLine="482" w:firstLineChars="200"/>
        <w:outlineLvl w:val="0"/>
        <w:rPr>
          <w:sz w:val="24"/>
        </w:rPr>
      </w:pPr>
      <w:bookmarkStart w:id="11" w:name="_Toc446354296"/>
      <w:bookmarkStart w:id="12" w:name="_Toc446353965"/>
      <w:r>
        <w:rPr>
          <w:b/>
          <w:sz w:val="24"/>
        </w:rPr>
        <w:t xml:space="preserve">1 </w:t>
      </w:r>
      <w:r>
        <w:rPr>
          <w:sz w:val="24"/>
        </w:rPr>
        <w:t>苯甲醛氮芥吡啶酰腙BNMPH及其铜配合物抗肿瘤活性与能产生ROS有关，它们都能引起细胞内DNA断裂，最终诱导肿瘤细胞凋亡。</w:t>
      </w:r>
      <w:bookmarkEnd w:id="11"/>
      <w:bookmarkEnd w:id="12"/>
    </w:p>
    <w:p>
      <w:pPr>
        <w:spacing w:line="360" w:lineRule="auto"/>
        <w:ind w:firstLine="482" w:firstLineChars="200"/>
        <w:outlineLvl w:val="0"/>
        <w:rPr>
          <w:sz w:val="24"/>
        </w:rPr>
      </w:pPr>
      <w:bookmarkStart w:id="13" w:name="_Toc446354297"/>
      <w:bookmarkStart w:id="14" w:name="_Toc446353966"/>
      <w:r>
        <w:rPr>
          <w:b/>
          <w:sz w:val="24"/>
        </w:rPr>
        <w:t xml:space="preserve">2 </w:t>
      </w:r>
      <w:r>
        <w:rPr>
          <w:sz w:val="24"/>
        </w:rPr>
        <w:t>它们都可引起S期阻滞， 与它们的DNA烷基化有关</w:t>
      </w:r>
      <w:bookmarkEnd w:id="13"/>
      <w:bookmarkEnd w:id="14"/>
      <w:r>
        <w:rPr>
          <w:rFonts w:hint="eastAsia"/>
          <w:sz w:val="24"/>
          <w:lang w:eastAsia="zh-CN"/>
        </w:rPr>
        <w:t>。</w:t>
      </w:r>
    </w:p>
    <w:p>
      <w:pPr>
        <w:spacing w:line="360" w:lineRule="auto"/>
        <w:ind w:firstLine="482" w:firstLineChars="200"/>
        <w:outlineLvl w:val="0"/>
        <w:rPr>
          <w:sz w:val="24"/>
        </w:rPr>
      </w:pPr>
      <w:bookmarkStart w:id="15" w:name="_Toc446353967"/>
      <w:bookmarkStart w:id="16" w:name="_Toc446354298"/>
      <w:r>
        <w:rPr>
          <w:b/>
          <w:sz w:val="24"/>
        </w:rPr>
        <w:t xml:space="preserve">3 </w:t>
      </w:r>
      <w:r>
        <w:rPr>
          <w:sz w:val="24"/>
        </w:rPr>
        <w:t>铜配合物展示出更强的细胞增殖抑制作用，与其更强的ROS产生能力有关。另外BNMPH及其铜配合物亦可通过自噬等途径诱导肿瘤细胞死亡。总之它们展示的抗肿瘤活性涉及多种机制，ROS可能是最重要的因素</w:t>
      </w:r>
      <w:bookmarkEnd w:id="15"/>
      <w:bookmarkEnd w:id="16"/>
      <w:r>
        <w:rPr>
          <w:rFonts w:hint="eastAsia"/>
          <w:sz w:val="24"/>
          <w:lang w:eastAsia="zh-CN"/>
        </w:rPr>
        <w:t>。</w:t>
      </w:r>
    </w:p>
    <w:p>
      <w:pPr>
        <w:spacing w:line="360" w:lineRule="auto"/>
        <w:outlineLvl w:val="0"/>
      </w:pPr>
      <w:bookmarkStart w:id="17" w:name="_Toc446353968"/>
      <w:bookmarkStart w:id="18" w:name="_Toc446354299"/>
      <w:r>
        <w:rPr>
          <w:rFonts w:eastAsia="黑体"/>
          <w:sz w:val="28"/>
          <w:szCs w:val="32"/>
        </w:rPr>
        <w:t>关键词</w:t>
      </w:r>
      <w:r>
        <w:rPr>
          <w:rFonts w:hint="eastAsia" w:eastAsia="黑体"/>
          <w:sz w:val="28"/>
          <w:szCs w:val="32"/>
        </w:rPr>
        <w:t xml:space="preserve"> </w:t>
      </w:r>
      <w:r>
        <w:rPr>
          <w:rFonts w:eastAsia="黑体"/>
          <w:sz w:val="28"/>
          <w:szCs w:val="32"/>
        </w:rPr>
        <w:t xml:space="preserve"> </w:t>
      </w:r>
      <w:r>
        <w:rPr>
          <w:sz w:val="24"/>
        </w:rPr>
        <w:t>苯甲醛氮芥吡啶酰腙；铜配合物；抗肿瘤活性；活性氧；S 期阻滞；</w:t>
      </w:r>
      <w:r>
        <w:rPr>
          <w:rFonts w:hint="eastAsia"/>
          <w:sz w:val="24"/>
          <w:lang w:val="en-US" w:eastAsia="zh-CN"/>
        </w:rPr>
        <w:t xml:space="preserve">  </w:t>
      </w:r>
      <w:r>
        <w:rPr>
          <w:sz w:val="24"/>
        </w:rPr>
        <w:t>自噬</w:t>
      </w:r>
      <w:bookmarkEnd w:id="17"/>
      <w:bookmarkEnd w:id="18"/>
      <w:r>
        <w:rPr>
          <w:rFonts w:hint="eastAsia"/>
          <w:sz w:val="24"/>
          <w:lang w:eastAsia="zh-CN"/>
        </w:rPr>
        <w:t>。</w:t>
      </w:r>
      <w:bookmarkStart w:id="19" w:name="_GoBack"/>
      <w:bookmarkEnd w:id="19"/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decorative"/>
    <w:pitch w:val="default"/>
    <w:sig w:usb0="80000287" w:usb1="280F3C52" w:usb2="00000016" w:usb3="00000000" w:csb0="0004001F" w:csb1="00000000"/>
  </w:font>
  <w:font w:name="黑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57356E"/>
    <w:rsid w:val="0000430F"/>
    <w:rsid w:val="00323B43"/>
    <w:rsid w:val="003D37D8"/>
    <w:rsid w:val="004358AB"/>
    <w:rsid w:val="0057356E"/>
    <w:rsid w:val="005F4541"/>
    <w:rsid w:val="008414B2"/>
    <w:rsid w:val="008B7726"/>
    <w:rsid w:val="150F6BE6"/>
    <w:rsid w:val="35370DDB"/>
    <w:rsid w:val="3FA253BA"/>
    <w:rsid w:val="4BCE248B"/>
    <w:rsid w:val="4E077A90"/>
    <w:rsid w:val="533E532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p0"/>
    <w:basedOn w:val="1"/>
    <w:qFormat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231</Words>
  <Characters>1323</Characters>
  <Lines>11</Lines>
  <Paragraphs>3</Paragraphs>
  <ScaleCrop>false</ScaleCrop>
  <LinksUpToDate>false</LinksUpToDate>
  <CharactersWithSpaces>1551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2016-05-05T13:06:00Z</dcterms:created>
  <dc:creator>china</dc:creator>
  <cp:lastModifiedBy>Administrator</cp:lastModifiedBy>
  <dcterms:modified xsi:type="dcterms:W3CDTF">2016-05-08T10:03:25Z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