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92" w:rsidRPr="00E60C92" w:rsidRDefault="00E60C92" w:rsidP="00E60C92">
      <w:pPr>
        <w:widowControl/>
        <w:shd w:val="clear" w:color="auto" w:fill="FFFFFF"/>
        <w:jc w:val="center"/>
        <w:textAlignment w:val="top"/>
        <w:rPr>
          <w:rFonts w:eastAsia="黑体"/>
          <w:color w:val="000000"/>
          <w:sz w:val="30"/>
          <w:szCs w:val="30"/>
        </w:rPr>
      </w:pPr>
      <w:r w:rsidRPr="00E60C92">
        <w:rPr>
          <w:rFonts w:eastAsia="黑体"/>
          <w:color w:val="000000"/>
          <w:sz w:val="30"/>
          <w:szCs w:val="30"/>
        </w:rPr>
        <w:t>PPAPDC1A</w:t>
      </w:r>
      <w:r w:rsidRPr="00E60C92">
        <w:rPr>
          <w:rFonts w:eastAsia="黑体" w:hAnsi="黑体"/>
          <w:color w:val="000000"/>
          <w:sz w:val="30"/>
          <w:szCs w:val="30"/>
        </w:rPr>
        <w:t>在乳腺癌发生发展过程中的作用及机制研究</w:t>
      </w:r>
    </w:p>
    <w:p w:rsidR="00E60C92" w:rsidRPr="005F2251" w:rsidRDefault="00E60C92" w:rsidP="00E60C92">
      <w:pPr>
        <w:pStyle w:val="p0"/>
        <w:spacing w:line="400" w:lineRule="exact"/>
        <w:jc w:val="center"/>
        <w:rPr>
          <w:bCs/>
          <w:sz w:val="24"/>
          <w:szCs w:val="24"/>
        </w:rPr>
      </w:pPr>
      <w:r w:rsidRPr="005F2251">
        <w:rPr>
          <w:bCs/>
          <w:sz w:val="24"/>
          <w:szCs w:val="24"/>
        </w:rPr>
        <w:t xml:space="preserve"> </w:t>
      </w:r>
    </w:p>
    <w:p w:rsidR="00E60C92" w:rsidRPr="005F2251" w:rsidRDefault="00E60C92" w:rsidP="00E60C92">
      <w:pPr>
        <w:pStyle w:val="p0"/>
        <w:spacing w:line="400" w:lineRule="exact"/>
        <w:jc w:val="center"/>
        <w:rPr>
          <w:bCs/>
          <w:sz w:val="24"/>
          <w:szCs w:val="24"/>
        </w:rPr>
      </w:pPr>
      <w:r w:rsidRPr="005F2251">
        <w:rPr>
          <w:rFonts w:hAnsi="宋体"/>
          <w:bCs/>
          <w:sz w:val="24"/>
          <w:szCs w:val="24"/>
        </w:rPr>
        <w:t>申</w:t>
      </w:r>
      <w:r w:rsidRPr="005F2251">
        <w:rPr>
          <w:bCs/>
          <w:sz w:val="24"/>
          <w:szCs w:val="24"/>
        </w:rPr>
        <w:t xml:space="preserve"> </w:t>
      </w:r>
      <w:r w:rsidRPr="005F2251">
        <w:rPr>
          <w:rFonts w:hAnsi="宋体"/>
          <w:bCs/>
          <w:sz w:val="24"/>
          <w:szCs w:val="24"/>
        </w:rPr>
        <w:t>请</w:t>
      </w:r>
      <w:r w:rsidRPr="005F2251">
        <w:rPr>
          <w:bCs/>
          <w:sz w:val="24"/>
          <w:szCs w:val="24"/>
        </w:rPr>
        <w:t xml:space="preserve"> </w:t>
      </w:r>
      <w:r w:rsidRPr="005F2251">
        <w:rPr>
          <w:rFonts w:hAnsi="宋体"/>
          <w:bCs/>
          <w:sz w:val="24"/>
          <w:szCs w:val="24"/>
        </w:rPr>
        <w:t>人：</w:t>
      </w:r>
      <w:r>
        <w:rPr>
          <w:rFonts w:hAnsi="宋体" w:hint="eastAsia"/>
          <w:bCs/>
          <w:sz w:val="24"/>
          <w:szCs w:val="24"/>
        </w:rPr>
        <w:t>赵二趁</w:t>
      </w:r>
    </w:p>
    <w:p w:rsidR="00E60C92" w:rsidRPr="005F2251" w:rsidRDefault="00E60C92" w:rsidP="00E60C92">
      <w:pPr>
        <w:pStyle w:val="p0"/>
        <w:spacing w:line="400" w:lineRule="exact"/>
        <w:jc w:val="center"/>
        <w:rPr>
          <w:bCs/>
          <w:sz w:val="24"/>
          <w:szCs w:val="24"/>
        </w:rPr>
      </w:pPr>
      <w:r>
        <w:rPr>
          <w:rFonts w:hAnsi="宋体"/>
          <w:bCs/>
          <w:sz w:val="24"/>
          <w:szCs w:val="24"/>
        </w:rPr>
        <w:t>指导教师：</w:t>
      </w:r>
      <w:r>
        <w:rPr>
          <w:rFonts w:hAnsi="宋体" w:hint="eastAsia"/>
          <w:bCs/>
          <w:sz w:val="24"/>
          <w:szCs w:val="24"/>
        </w:rPr>
        <w:t>李</w:t>
      </w:r>
      <w:r>
        <w:rPr>
          <w:rFonts w:hAnsi="宋体" w:hint="eastAsia"/>
          <w:bCs/>
          <w:sz w:val="24"/>
          <w:szCs w:val="24"/>
        </w:rPr>
        <w:t xml:space="preserve">  </w:t>
      </w:r>
      <w:r>
        <w:rPr>
          <w:rFonts w:hAnsi="宋体" w:hint="eastAsia"/>
          <w:bCs/>
          <w:sz w:val="24"/>
          <w:szCs w:val="24"/>
        </w:rPr>
        <w:t>娜</w:t>
      </w:r>
    </w:p>
    <w:p w:rsidR="00E60C92" w:rsidRPr="005F2251" w:rsidRDefault="00E60C92" w:rsidP="00E60C92">
      <w:pPr>
        <w:pStyle w:val="p0"/>
        <w:spacing w:line="400" w:lineRule="exact"/>
        <w:jc w:val="center"/>
        <w:rPr>
          <w:bCs/>
          <w:sz w:val="24"/>
          <w:szCs w:val="24"/>
        </w:rPr>
      </w:pPr>
    </w:p>
    <w:p w:rsidR="00E60C92" w:rsidRPr="00627219" w:rsidRDefault="00E60C92" w:rsidP="00E60C92">
      <w:pPr>
        <w:pStyle w:val="p0"/>
        <w:spacing w:line="400" w:lineRule="exact"/>
        <w:jc w:val="center"/>
        <w:rPr>
          <w:b/>
          <w:bCs/>
          <w:sz w:val="24"/>
          <w:szCs w:val="24"/>
        </w:rPr>
      </w:pPr>
      <w:r w:rsidRPr="00627219">
        <w:rPr>
          <w:rFonts w:hAnsi="宋体"/>
          <w:b/>
          <w:bCs/>
          <w:sz w:val="24"/>
          <w:szCs w:val="24"/>
        </w:rPr>
        <w:t>摘</w:t>
      </w:r>
      <w:r w:rsidRPr="00627219">
        <w:rPr>
          <w:b/>
          <w:bCs/>
          <w:sz w:val="24"/>
          <w:szCs w:val="24"/>
        </w:rPr>
        <w:t xml:space="preserve">   </w:t>
      </w:r>
      <w:r w:rsidRPr="00627219">
        <w:rPr>
          <w:rFonts w:hAnsi="宋体"/>
          <w:b/>
          <w:bCs/>
          <w:sz w:val="24"/>
          <w:szCs w:val="24"/>
        </w:rPr>
        <w:t>要</w:t>
      </w:r>
    </w:p>
    <w:p w:rsidR="00E60C92" w:rsidRPr="005F2251" w:rsidRDefault="00E60C92" w:rsidP="00E60C92">
      <w:pPr>
        <w:widowControl/>
        <w:spacing w:line="360" w:lineRule="auto"/>
        <w:ind w:firstLine="480"/>
        <w:rPr>
          <w:b/>
          <w:bCs/>
          <w:sz w:val="24"/>
        </w:rPr>
      </w:pPr>
      <w:r w:rsidRPr="005F2251">
        <w:rPr>
          <w:rFonts w:hAnsi="宋体"/>
          <w:b/>
          <w:bCs/>
          <w:sz w:val="24"/>
        </w:rPr>
        <w:t>目的</w:t>
      </w:r>
      <w:r w:rsidRPr="005F2251">
        <w:rPr>
          <w:b/>
          <w:bCs/>
          <w:sz w:val="24"/>
        </w:rPr>
        <w:t xml:space="preserve"> </w:t>
      </w:r>
    </w:p>
    <w:p w:rsidR="00E60C92" w:rsidRDefault="00E60C92" w:rsidP="00E60C92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从细胞和组织学水平分析</w:t>
      </w:r>
      <w:r>
        <w:rPr>
          <w:bCs/>
          <w:color w:val="000000"/>
          <w:sz w:val="24"/>
        </w:rPr>
        <w:t>PPAPDC1A</w:t>
      </w:r>
      <w:r>
        <w:rPr>
          <w:bCs/>
          <w:color w:val="000000"/>
          <w:sz w:val="24"/>
        </w:rPr>
        <w:t>在正常乳腺和乳腺癌中的表达情况；通过体外实验，研究</w:t>
      </w:r>
      <w:r>
        <w:rPr>
          <w:bCs/>
          <w:color w:val="000000"/>
          <w:sz w:val="24"/>
        </w:rPr>
        <w:t>PPAPDC1A</w:t>
      </w:r>
      <w:r>
        <w:rPr>
          <w:bCs/>
          <w:color w:val="000000"/>
          <w:sz w:val="24"/>
        </w:rPr>
        <w:t>对乳腺癌增殖、转移和侵袭的影响及相关的分子机制，试图阐明</w:t>
      </w:r>
      <w:r>
        <w:rPr>
          <w:bCs/>
          <w:color w:val="000000"/>
          <w:sz w:val="24"/>
        </w:rPr>
        <w:t>PPAPDC1A</w:t>
      </w:r>
      <w:r>
        <w:rPr>
          <w:bCs/>
          <w:color w:val="000000"/>
          <w:sz w:val="24"/>
        </w:rPr>
        <w:t>在乳腺癌发生与演进中的作用，以丰富</w:t>
      </w:r>
      <w:r>
        <w:rPr>
          <w:bCs/>
          <w:color w:val="000000"/>
          <w:sz w:val="24"/>
        </w:rPr>
        <w:t>PPAPDC1A</w:t>
      </w:r>
      <w:r>
        <w:rPr>
          <w:bCs/>
          <w:color w:val="000000"/>
          <w:sz w:val="24"/>
        </w:rPr>
        <w:t>的致癌机制。</w:t>
      </w:r>
    </w:p>
    <w:p w:rsidR="00E60C92" w:rsidRPr="005F2251" w:rsidRDefault="00E60C92" w:rsidP="00E60C92">
      <w:pPr>
        <w:pStyle w:val="p0"/>
        <w:autoSpaceDN w:val="0"/>
        <w:spacing w:line="360" w:lineRule="auto"/>
        <w:ind w:firstLine="465"/>
        <w:rPr>
          <w:b/>
          <w:sz w:val="24"/>
          <w:szCs w:val="24"/>
        </w:rPr>
      </w:pPr>
      <w:r w:rsidRPr="005F2251">
        <w:rPr>
          <w:rFonts w:hAnsi="宋体"/>
          <w:b/>
          <w:bCs/>
          <w:sz w:val="24"/>
          <w:szCs w:val="24"/>
        </w:rPr>
        <w:t>方法</w:t>
      </w:r>
      <w:r w:rsidRPr="005F2251">
        <w:rPr>
          <w:b/>
          <w:sz w:val="24"/>
          <w:szCs w:val="24"/>
        </w:rPr>
        <w:t xml:space="preserve">   </w:t>
      </w:r>
    </w:p>
    <w:p w:rsidR="00E60C92" w:rsidRDefault="00E60C92" w:rsidP="00E60C92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color w:val="000000"/>
          <w:sz w:val="24"/>
        </w:rPr>
        <w:t xml:space="preserve">1. </w:t>
      </w:r>
      <w:r>
        <w:rPr>
          <w:color w:val="000000"/>
          <w:sz w:val="24"/>
        </w:rPr>
        <w:t>以</w:t>
      </w:r>
      <w:r>
        <w:rPr>
          <w:bCs/>
          <w:color w:val="000000"/>
          <w:sz w:val="24"/>
        </w:rPr>
        <w:t>正常乳腺上皮细胞</w:t>
      </w:r>
      <w:r>
        <w:rPr>
          <w:bCs/>
          <w:color w:val="000000"/>
          <w:sz w:val="24"/>
        </w:rPr>
        <w:t>HBL-100</w:t>
      </w:r>
      <w:r>
        <w:rPr>
          <w:bCs/>
          <w:color w:val="000000"/>
          <w:sz w:val="24"/>
        </w:rPr>
        <w:t>、低转移乳腺癌</w:t>
      </w:r>
      <w:r>
        <w:rPr>
          <w:bCs/>
          <w:color w:val="000000"/>
          <w:sz w:val="24"/>
        </w:rPr>
        <w:t>MCF-7</w:t>
      </w:r>
      <w:r>
        <w:rPr>
          <w:bCs/>
          <w:color w:val="000000"/>
          <w:sz w:val="24"/>
        </w:rPr>
        <w:t>细胞、高转移乳腺癌</w:t>
      </w:r>
      <w:r>
        <w:rPr>
          <w:bCs/>
          <w:color w:val="000000"/>
          <w:sz w:val="24"/>
        </w:rPr>
        <w:t>MDA-MB-231</w:t>
      </w:r>
      <w:r>
        <w:rPr>
          <w:color w:val="000000"/>
          <w:sz w:val="24"/>
        </w:rPr>
        <w:t>细胞</w:t>
      </w:r>
      <w:r>
        <w:rPr>
          <w:bCs/>
          <w:color w:val="000000"/>
          <w:sz w:val="24"/>
        </w:rPr>
        <w:t>和高转移乳腺癌</w:t>
      </w:r>
      <w:r>
        <w:rPr>
          <w:bCs/>
          <w:color w:val="000000"/>
          <w:sz w:val="24"/>
        </w:rPr>
        <w:t>MDA-MB-435S</w:t>
      </w:r>
      <w:r>
        <w:rPr>
          <w:bCs/>
          <w:color w:val="000000"/>
          <w:sz w:val="24"/>
        </w:rPr>
        <w:t>细胞</w:t>
      </w:r>
      <w:r>
        <w:rPr>
          <w:color w:val="000000"/>
          <w:sz w:val="24"/>
        </w:rPr>
        <w:t>为研究对象，采用实时荧光定量</w:t>
      </w:r>
      <w:r>
        <w:rPr>
          <w:color w:val="000000"/>
          <w:sz w:val="24"/>
        </w:rPr>
        <w:t>PCR</w:t>
      </w: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real-time quantitative polymerase chain reaction</w:t>
      </w:r>
      <w:r w:rsidR="00964729">
        <w:rPr>
          <w:rFonts w:hint="eastAsia"/>
          <w:bCs/>
          <w:color w:val="000000"/>
          <w:sz w:val="24"/>
        </w:rPr>
        <w:t>，</w:t>
      </w:r>
      <w:r>
        <w:rPr>
          <w:bCs/>
          <w:color w:val="000000"/>
          <w:sz w:val="24"/>
        </w:rPr>
        <w:t>qPCR</w:t>
      </w:r>
      <w:r>
        <w:rPr>
          <w:bCs/>
          <w:color w:val="000000"/>
          <w:sz w:val="24"/>
        </w:rPr>
        <w:t>）和</w:t>
      </w:r>
      <w:r>
        <w:rPr>
          <w:bCs/>
          <w:color w:val="000000"/>
          <w:sz w:val="24"/>
        </w:rPr>
        <w:t>Western blot</w:t>
      </w:r>
      <w:r>
        <w:rPr>
          <w:bCs/>
          <w:color w:val="000000"/>
          <w:sz w:val="24"/>
        </w:rPr>
        <w:t>方法检测</w:t>
      </w:r>
      <w:r>
        <w:rPr>
          <w:bCs/>
          <w:color w:val="000000"/>
          <w:sz w:val="24"/>
        </w:rPr>
        <w:t>PPAPDC1A</w:t>
      </w:r>
      <w:r>
        <w:rPr>
          <w:bCs/>
          <w:color w:val="000000"/>
          <w:sz w:val="24"/>
        </w:rPr>
        <w:t>的表达。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>
        <w:rPr>
          <w:color w:val="000000"/>
          <w:sz w:val="24"/>
        </w:rPr>
        <w:t>以</w:t>
      </w:r>
      <w:r>
        <w:rPr>
          <w:color w:val="000000"/>
          <w:kern w:val="0"/>
          <w:sz w:val="24"/>
          <w:lang w:val="en-GB"/>
        </w:rPr>
        <w:t>正常乳腺组织、乳腺纤维腺瘤、浸润性乳腺癌</w:t>
      </w:r>
      <w:r>
        <w:rPr>
          <w:color w:val="000000"/>
          <w:kern w:val="0"/>
          <w:sz w:val="24"/>
        </w:rPr>
        <w:t>组织为研究对象</w:t>
      </w:r>
      <w:r>
        <w:rPr>
          <w:color w:val="000000"/>
          <w:sz w:val="24"/>
        </w:rPr>
        <w:t>，采用</w:t>
      </w:r>
      <w:r>
        <w:rPr>
          <w:color w:val="000000"/>
          <w:spacing w:val="4"/>
          <w:sz w:val="24"/>
        </w:rPr>
        <w:t>免疫组织化学（</w:t>
      </w:r>
      <w:r>
        <w:rPr>
          <w:color w:val="000000"/>
          <w:spacing w:val="4"/>
          <w:sz w:val="24"/>
        </w:rPr>
        <w:t>immunohistochemistry</w:t>
      </w:r>
      <w:r>
        <w:rPr>
          <w:color w:val="000000"/>
          <w:spacing w:val="4"/>
          <w:sz w:val="24"/>
        </w:rPr>
        <w:t>，</w:t>
      </w:r>
      <w:r>
        <w:rPr>
          <w:color w:val="000000"/>
          <w:spacing w:val="4"/>
          <w:sz w:val="24"/>
        </w:rPr>
        <w:t>IHC</w:t>
      </w:r>
      <w:r>
        <w:rPr>
          <w:color w:val="000000"/>
          <w:sz w:val="24"/>
        </w:rPr>
        <w:t>）染色方法检测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的表达。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3.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通过</w:t>
      </w:r>
      <w:r>
        <w:rPr>
          <w:color w:val="000000"/>
          <w:sz w:val="24"/>
        </w:rPr>
        <w:t>Western blot</w:t>
      </w:r>
      <w:r>
        <w:rPr>
          <w:color w:val="000000"/>
          <w:sz w:val="24"/>
        </w:rPr>
        <w:t>检测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瞬时过表达和干扰后乳腺癌细胞中</w:t>
      </w:r>
      <w:r>
        <w:rPr>
          <w:color w:val="000000"/>
          <w:kern w:val="0"/>
          <w:sz w:val="24"/>
        </w:rPr>
        <w:t>PPAPDC1A</w:t>
      </w:r>
      <w:r>
        <w:rPr>
          <w:color w:val="000000"/>
          <w:sz w:val="24"/>
        </w:rPr>
        <w:t>的</w:t>
      </w:r>
      <w:r>
        <w:rPr>
          <w:color w:val="000000"/>
          <w:kern w:val="0"/>
          <w:sz w:val="24"/>
        </w:rPr>
        <w:t>表达</w:t>
      </w:r>
      <w:r>
        <w:rPr>
          <w:color w:val="000000"/>
          <w:sz w:val="24"/>
        </w:rPr>
        <w:t>情况；通过细胞增殖（</w:t>
      </w:r>
      <w:r>
        <w:rPr>
          <w:color w:val="000000"/>
          <w:sz w:val="24"/>
        </w:rPr>
        <w:t>Cell Counting Kit-8</w:t>
      </w:r>
      <w:r>
        <w:rPr>
          <w:color w:val="000000"/>
          <w:sz w:val="24"/>
        </w:rPr>
        <w:t>，</w:t>
      </w:r>
      <w:r>
        <w:rPr>
          <w:color w:val="000000"/>
          <w:sz w:val="24"/>
        </w:rPr>
        <w:t>CCK-8</w:t>
      </w:r>
      <w:r>
        <w:rPr>
          <w:color w:val="000000"/>
          <w:sz w:val="24"/>
        </w:rPr>
        <w:t>）实验检测</w:t>
      </w:r>
      <w:r>
        <w:rPr>
          <w:rFonts w:hint="eastAsia"/>
          <w:color w:val="000000"/>
          <w:sz w:val="24"/>
        </w:rPr>
        <w:t>乳腺癌</w:t>
      </w:r>
      <w:r>
        <w:rPr>
          <w:color w:val="000000"/>
          <w:sz w:val="24"/>
        </w:rPr>
        <w:t>细胞增殖情况；通过划痕、</w:t>
      </w:r>
      <w:r>
        <w:rPr>
          <w:color w:val="000000"/>
          <w:sz w:val="24"/>
        </w:rPr>
        <w:t>Transwell</w:t>
      </w:r>
      <w:r>
        <w:rPr>
          <w:color w:val="000000"/>
          <w:sz w:val="24"/>
        </w:rPr>
        <w:t>实验检测</w:t>
      </w:r>
      <w:r>
        <w:rPr>
          <w:rFonts w:hint="eastAsia"/>
          <w:color w:val="000000"/>
          <w:sz w:val="24"/>
        </w:rPr>
        <w:t>乳腺癌</w:t>
      </w:r>
      <w:r>
        <w:rPr>
          <w:color w:val="000000"/>
          <w:sz w:val="24"/>
        </w:rPr>
        <w:t>细胞的迁移侵袭能力。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4. </w:t>
      </w:r>
      <w:r>
        <w:rPr>
          <w:color w:val="000000"/>
          <w:sz w:val="24"/>
        </w:rPr>
        <w:t>利用</w:t>
      </w:r>
      <w:r>
        <w:rPr>
          <w:color w:val="000000"/>
          <w:sz w:val="24"/>
        </w:rPr>
        <w:t>GEO</w:t>
      </w:r>
      <w:r>
        <w:rPr>
          <w:color w:val="000000"/>
          <w:sz w:val="24"/>
        </w:rPr>
        <w:t>公共数据库，通过基因集富集分析（</w:t>
      </w:r>
      <w:hyperlink r:id="rId5" w:tgtFrame="_blank" w:history="1">
        <w:r>
          <w:rPr>
            <w:color w:val="000000"/>
            <w:sz w:val="24"/>
          </w:rPr>
          <w:t>gene set enrichment analysis</w:t>
        </w:r>
        <w:r>
          <w:rPr>
            <w:color w:val="000000"/>
            <w:sz w:val="24"/>
          </w:rPr>
          <w:t>，</w:t>
        </w:r>
        <w:r>
          <w:rPr>
            <w:color w:val="000000"/>
            <w:sz w:val="24"/>
          </w:rPr>
          <w:t>GSEA</w:t>
        </w:r>
      </w:hyperlink>
      <w:r>
        <w:rPr>
          <w:color w:val="000000"/>
          <w:sz w:val="24"/>
        </w:rPr>
        <w:t>）的方法分析乳腺癌中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高表达组中上调的信号通路。</w:t>
      </w:r>
    </w:p>
    <w:p w:rsidR="00E60C92" w:rsidRPr="005F2251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5. </w:t>
      </w:r>
      <w:r>
        <w:rPr>
          <w:color w:val="000000"/>
          <w:sz w:val="24"/>
        </w:rPr>
        <w:t>通过</w:t>
      </w:r>
      <w:r>
        <w:rPr>
          <w:color w:val="000000"/>
          <w:sz w:val="24"/>
        </w:rPr>
        <w:t>Western blot</w:t>
      </w:r>
      <w:r>
        <w:rPr>
          <w:color w:val="000000"/>
          <w:sz w:val="24"/>
        </w:rPr>
        <w:t>检测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瞬时过表达和干扰后</w:t>
      </w:r>
      <w:r>
        <w:rPr>
          <w:color w:val="000000"/>
          <w:sz w:val="24"/>
        </w:rPr>
        <w:t>FAK</w:t>
      </w:r>
      <w:r>
        <w:rPr>
          <w:color w:val="000000"/>
          <w:sz w:val="24"/>
        </w:rPr>
        <w:t>的表达情况，利用免疫荧光共定位和免疫共沉淀（</w:t>
      </w:r>
      <w:r>
        <w:rPr>
          <w:color w:val="000000"/>
          <w:sz w:val="24"/>
        </w:rPr>
        <w:t>Co-Immunoprecipitation</w:t>
      </w:r>
      <w:r w:rsidR="00E82306"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Co-IP</w:t>
      </w:r>
      <w:r>
        <w:rPr>
          <w:color w:val="000000"/>
          <w:sz w:val="24"/>
        </w:rPr>
        <w:t>）实验检测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FAK</w:t>
      </w:r>
      <w:r>
        <w:rPr>
          <w:color w:val="000000"/>
          <w:sz w:val="24"/>
        </w:rPr>
        <w:t>之间相互作用情况。</w:t>
      </w:r>
      <w:r w:rsidRPr="005F2251">
        <w:rPr>
          <w:sz w:val="24"/>
        </w:rPr>
        <w:t xml:space="preserve"> </w:t>
      </w:r>
    </w:p>
    <w:p w:rsidR="00E60C92" w:rsidRPr="005F2251" w:rsidRDefault="00E60C92" w:rsidP="00E60C92">
      <w:pPr>
        <w:pStyle w:val="p0"/>
        <w:autoSpaceDN w:val="0"/>
        <w:spacing w:line="360" w:lineRule="auto"/>
        <w:ind w:firstLineChars="196" w:firstLine="472"/>
        <w:jc w:val="left"/>
        <w:rPr>
          <w:b/>
          <w:bCs/>
          <w:sz w:val="24"/>
          <w:szCs w:val="24"/>
        </w:rPr>
      </w:pPr>
      <w:r w:rsidRPr="005F2251">
        <w:rPr>
          <w:rFonts w:hAnsi="宋体"/>
          <w:b/>
          <w:bCs/>
          <w:sz w:val="24"/>
          <w:szCs w:val="24"/>
        </w:rPr>
        <w:t>结果</w:t>
      </w:r>
      <w:r w:rsidRPr="005F2251">
        <w:rPr>
          <w:b/>
          <w:bCs/>
          <w:sz w:val="24"/>
          <w:szCs w:val="24"/>
        </w:rPr>
        <w:t xml:space="preserve"> </w:t>
      </w:r>
    </w:p>
    <w:p w:rsidR="00E60C92" w:rsidRDefault="00E60C92" w:rsidP="00E60C92">
      <w:pPr>
        <w:spacing w:line="360" w:lineRule="auto"/>
        <w:ind w:firstLine="480"/>
        <w:rPr>
          <w:color w:val="000000"/>
          <w:sz w:val="24"/>
        </w:rPr>
      </w:pPr>
      <w:r>
        <w:rPr>
          <w:color w:val="000000"/>
          <w:sz w:val="24"/>
        </w:rPr>
        <w:t>1. qPCR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Western blot</w:t>
      </w:r>
      <w:r>
        <w:rPr>
          <w:color w:val="000000"/>
          <w:sz w:val="24"/>
        </w:rPr>
        <w:t>结果一致均显示：与正常乳腺上皮细胞</w:t>
      </w:r>
      <w:r>
        <w:rPr>
          <w:color w:val="000000"/>
          <w:sz w:val="24"/>
        </w:rPr>
        <w:t>HBL-100</w:t>
      </w:r>
      <w:r>
        <w:rPr>
          <w:color w:val="000000"/>
          <w:sz w:val="24"/>
        </w:rPr>
        <w:t>相比，</w:t>
      </w:r>
      <w:r>
        <w:rPr>
          <w:color w:val="000000"/>
          <w:sz w:val="24"/>
        </w:rPr>
        <w:t xml:space="preserve"> 3</w:t>
      </w:r>
      <w:r>
        <w:rPr>
          <w:color w:val="000000"/>
          <w:sz w:val="24"/>
        </w:rPr>
        <w:t>种不同转移能力的乳腺癌细胞（</w:t>
      </w:r>
      <w:r>
        <w:rPr>
          <w:color w:val="000000"/>
          <w:sz w:val="24"/>
        </w:rPr>
        <w:t>MCF-7</w:t>
      </w:r>
      <w:r>
        <w:rPr>
          <w:color w:val="000000"/>
          <w:sz w:val="24"/>
        </w:rPr>
        <w:t>、</w:t>
      </w:r>
      <w:r>
        <w:rPr>
          <w:color w:val="000000"/>
          <w:sz w:val="24"/>
        </w:rPr>
        <w:t>MDA-MB-231</w:t>
      </w:r>
      <w:r>
        <w:rPr>
          <w:color w:val="000000"/>
          <w:sz w:val="24"/>
        </w:rPr>
        <w:t>、</w:t>
      </w:r>
      <w:r>
        <w:rPr>
          <w:color w:val="000000"/>
          <w:sz w:val="24"/>
        </w:rPr>
        <w:t>MDA-MB-435S</w:t>
      </w:r>
      <w:r>
        <w:rPr>
          <w:color w:val="000000"/>
          <w:sz w:val="24"/>
        </w:rPr>
        <w:t>细胞）中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基因</w:t>
      </w:r>
      <w:r>
        <w:rPr>
          <w:color w:val="000000"/>
          <w:sz w:val="24"/>
        </w:rPr>
        <w:t>mRNA</w:t>
      </w:r>
      <w:r>
        <w:rPr>
          <w:color w:val="000000"/>
          <w:sz w:val="24"/>
        </w:rPr>
        <w:t>和蛋白水平的表达均显著升高（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），且高转移乳腺癌</w:t>
      </w:r>
      <w:r>
        <w:rPr>
          <w:color w:val="000000"/>
          <w:sz w:val="24"/>
        </w:rPr>
        <w:lastRenderedPageBreak/>
        <w:t>MDA-MB-231</w:t>
      </w:r>
      <w:r>
        <w:rPr>
          <w:color w:val="000000"/>
          <w:sz w:val="24"/>
        </w:rPr>
        <w:t>细胞和高转移乳腺癌</w:t>
      </w:r>
      <w:r>
        <w:rPr>
          <w:color w:val="000000"/>
          <w:sz w:val="24"/>
        </w:rPr>
        <w:t>MDA-MB-435S</w:t>
      </w:r>
      <w:r>
        <w:rPr>
          <w:color w:val="000000"/>
          <w:sz w:val="24"/>
        </w:rPr>
        <w:t>细胞中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基因</w:t>
      </w:r>
      <w:r>
        <w:rPr>
          <w:rFonts w:hint="eastAsia"/>
          <w:color w:val="000000"/>
          <w:sz w:val="24"/>
        </w:rPr>
        <w:t>的</w:t>
      </w:r>
      <w:r>
        <w:rPr>
          <w:color w:val="000000"/>
          <w:sz w:val="24"/>
        </w:rPr>
        <w:t>mRNA</w:t>
      </w:r>
      <w:r>
        <w:rPr>
          <w:color w:val="000000"/>
          <w:sz w:val="24"/>
        </w:rPr>
        <w:t>和蛋白水平的表达均显著高于低转移乳腺癌</w:t>
      </w:r>
      <w:r>
        <w:rPr>
          <w:color w:val="000000"/>
          <w:sz w:val="24"/>
        </w:rPr>
        <w:t>MCF-7</w:t>
      </w:r>
      <w:r>
        <w:rPr>
          <w:color w:val="000000"/>
          <w:sz w:val="24"/>
        </w:rPr>
        <w:t>细胞（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>
        <w:rPr>
          <w:color w:val="000000"/>
          <w:sz w:val="24"/>
        </w:rPr>
        <w:t>免疫组化结果显示：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在正常乳腺组织中的阳性表达率为</w:t>
      </w:r>
      <w:r>
        <w:rPr>
          <w:color w:val="000000"/>
          <w:sz w:val="24"/>
        </w:rPr>
        <w:t>11.36%</w:t>
      </w:r>
      <w:r>
        <w:rPr>
          <w:color w:val="000000"/>
          <w:sz w:val="24"/>
        </w:rPr>
        <w:t>，乳腺纤维腺瘤中的阳性表达率为</w:t>
      </w:r>
      <w:r>
        <w:rPr>
          <w:color w:val="000000"/>
          <w:sz w:val="24"/>
        </w:rPr>
        <w:t>48.10%</w:t>
      </w:r>
      <w:r>
        <w:rPr>
          <w:color w:val="000000"/>
          <w:sz w:val="24"/>
        </w:rPr>
        <w:t>，浸润性乳腺癌组织中的阳性表达率为</w:t>
      </w:r>
      <w:r>
        <w:rPr>
          <w:color w:val="000000"/>
          <w:sz w:val="24"/>
        </w:rPr>
        <w:t>77.08%</w:t>
      </w:r>
      <w:r>
        <w:rPr>
          <w:color w:val="000000"/>
          <w:sz w:val="24"/>
        </w:rPr>
        <w:t>，且与正常乳腺组织相比，乳腺纤维腺瘤（</w:t>
      </w:r>
      <w:r>
        <w:rPr>
          <w:color w:val="000000"/>
          <w:sz w:val="24"/>
        </w:rPr>
        <w:t>χ</w:t>
      </w:r>
      <w:r>
        <w:rPr>
          <w:color w:val="000000"/>
          <w:sz w:val="24"/>
          <w:vertAlign w:val="superscript"/>
        </w:rPr>
        <w:t>2</w:t>
      </w:r>
      <w:r>
        <w:rPr>
          <w:color w:val="000000"/>
          <w:sz w:val="24"/>
        </w:rPr>
        <w:t>=16.774,</w:t>
      </w:r>
      <w:r>
        <w:rPr>
          <w:i/>
          <w:color w:val="000000"/>
          <w:sz w:val="24"/>
        </w:rPr>
        <w:t xml:space="preserve"> 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）和浸润性乳腺癌</w:t>
      </w:r>
      <w:r w:rsidRPr="00CE5BC1">
        <w:rPr>
          <w:color w:val="000000"/>
          <w:sz w:val="24"/>
        </w:rPr>
        <w:t>（</w:t>
      </w:r>
      <w:r w:rsidRPr="00CE5BC1">
        <w:rPr>
          <w:color w:val="000000"/>
          <w:sz w:val="24"/>
        </w:rPr>
        <w:t>χ</w:t>
      </w:r>
      <w:r w:rsidRPr="00CE5BC1">
        <w:rPr>
          <w:color w:val="000000"/>
          <w:sz w:val="24"/>
          <w:vertAlign w:val="superscript"/>
        </w:rPr>
        <w:t>2</w:t>
      </w:r>
      <w:r w:rsidRPr="00CE5BC1">
        <w:rPr>
          <w:color w:val="000000"/>
          <w:sz w:val="24"/>
        </w:rPr>
        <w:t xml:space="preserve">=53.001, </w:t>
      </w:r>
      <w:r w:rsidRPr="00CE5BC1">
        <w:rPr>
          <w:i/>
          <w:color w:val="000000"/>
          <w:sz w:val="24"/>
        </w:rPr>
        <w:t>P</w:t>
      </w:r>
      <w:r w:rsidRPr="00CE5BC1">
        <w:rPr>
          <w:color w:val="000000"/>
          <w:sz w:val="24"/>
        </w:rPr>
        <w:t>&lt;0.01</w:t>
      </w:r>
      <w:r w:rsidRPr="00CE5BC1">
        <w:rPr>
          <w:color w:val="000000"/>
          <w:sz w:val="24"/>
        </w:rPr>
        <w:t>）</w:t>
      </w:r>
      <w:r>
        <w:rPr>
          <w:color w:val="000000"/>
          <w:sz w:val="24"/>
        </w:rPr>
        <w:t>中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的阳性表达率显著升高，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在浸润性乳腺癌中的阳性表达率显著高于乳腺纤维腺瘤（</w:t>
      </w:r>
      <w:r>
        <w:rPr>
          <w:color w:val="000000"/>
          <w:sz w:val="24"/>
        </w:rPr>
        <w:t>χ</w:t>
      </w:r>
      <w:r>
        <w:rPr>
          <w:color w:val="000000"/>
          <w:sz w:val="24"/>
          <w:vertAlign w:val="superscript"/>
        </w:rPr>
        <w:t>2</w:t>
      </w:r>
      <w:r>
        <w:rPr>
          <w:color w:val="000000"/>
          <w:sz w:val="24"/>
        </w:rPr>
        <w:t>=15.799,</w:t>
      </w:r>
      <w:r>
        <w:rPr>
          <w:i/>
          <w:color w:val="000000"/>
          <w:sz w:val="24"/>
        </w:rPr>
        <w:t xml:space="preserve"> 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 w:rsidRPr="00CE5BC1">
        <w:rPr>
          <w:color w:val="000000"/>
          <w:sz w:val="24"/>
        </w:rPr>
        <w:t>3. Western</w:t>
      </w:r>
      <w:r>
        <w:rPr>
          <w:color w:val="000000"/>
          <w:sz w:val="24"/>
        </w:rPr>
        <w:t xml:space="preserve"> blot</w:t>
      </w:r>
      <w:r>
        <w:rPr>
          <w:color w:val="000000"/>
          <w:sz w:val="24"/>
        </w:rPr>
        <w:t>结果显示：</w:t>
      </w:r>
      <w:r>
        <w:rPr>
          <w:color w:val="000000"/>
          <w:kern w:val="0"/>
          <w:sz w:val="24"/>
        </w:rPr>
        <w:t>PPAPDC1A</w:t>
      </w:r>
      <w:r>
        <w:rPr>
          <w:color w:val="000000"/>
          <w:sz w:val="24"/>
        </w:rPr>
        <w:t>瞬时过表达和</w:t>
      </w:r>
      <w:r>
        <w:rPr>
          <w:color w:val="000000"/>
          <w:kern w:val="0"/>
          <w:sz w:val="24"/>
        </w:rPr>
        <w:t>PPAPDC1A</w:t>
      </w:r>
      <w:r>
        <w:rPr>
          <w:color w:val="000000"/>
          <w:sz w:val="24"/>
        </w:rPr>
        <w:t>干扰的乳腺癌细胞</w:t>
      </w:r>
      <w:r>
        <w:rPr>
          <w:rFonts w:hint="eastAsia"/>
          <w:color w:val="000000"/>
          <w:sz w:val="24"/>
        </w:rPr>
        <w:t>株</w:t>
      </w:r>
      <w:r>
        <w:rPr>
          <w:color w:val="000000"/>
          <w:sz w:val="24"/>
        </w:rPr>
        <w:t>建立成功。细胞增殖</w:t>
      </w:r>
      <w:r>
        <w:rPr>
          <w:color w:val="000000"/>
          <w:sz w:val="24"/>
        </w:rPr>
        <w:t>CCK-8</w:t>
      </w:r>
      <w:r>
        <w:rPr>
          <w:color w:val="000000"/>
          <w:sz w:val="24"/>
        </w:rPr>
        <w:t>实验结果显示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瞬时过表达细胞</w:t>
      </w:r>
      <w:r>
        <w:rPr>
          <w:rFonts w:hint="eastAsia"/>
          <w:color w:val="000000"/>
          <w:sz w:val="24"/>
        </w:rPr>
        <w:t>株</w:t>
      </w:r>
      <w:r>
        <w:rPr>
          <w:color w:val="000000"/>
          <w:sz w:val="24"/>
        </w:rPr>
        <w:t>的生长速度显著快</w:t>
      </w:r>
      <w:r>
        <w:rPr>
          <w:rFonts w:hint="eastAsia"/>
          <w:color w:val="000000"/>
          <w:sz w:val="24"/>
        </w:rPr>
        <w:t>于</w:t>
      </w:r>
      <w:r>
        <w:rPr>
          <w:color w:val="000000"/>
          <w:sz w:val="24"/>
        </w:rPr>
        <w:t>空载体组（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），</w:t>
      </w:r>
      <w:r>
        <w:rPr>
          <w:rFonts w:hint="eastAsia"/>
          <w:color w:val="000000"/>
          <w:sz w:val="24"/>
        </w:rPr>
        <w:t>而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干扰细胞株的生长速度显著</w:t>
      </w:r>
      <w:r>
        <w:rPr>
          <w:rFonts w:hint="eastAsia"/>
          <w:color w:val="000000"/>
          <w:sz w:val="24"/>
        </w:rPr>
        <w:t>慢</w:t>
      </w:r>
      <w:r>
        <w:rPr>
          <w:color w:val="000000"/>
          <w:sz w:val="24"/>
        </w:rPr>
        <w:t>于阴性对照组（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）。划痕实验结果显示：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瞬时过表达细胞株的迁移速度明显快</w:t>
      </w:r>
      <w:r>
        <w:rPr>
          <w:rFonts w:hint="eastAsia"/>
          <w:color w:val="000000"/>
          <w:sz w:val="24"/>
        </w:rPr>
        <w:t>于</w:t>
      </w:r>
      <w:r>
        <w:rPr>
          <w:color w:val="000000"/>
          <w:sz w:val="24"/>
        </w:rPr>
        <w:t>空载体组，而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干扰细胞株</w:t>
      </w:r>
      <w:r>
        <w:rPr>
          <w:rFonts w:hint="eastAsia"/>
          <w:color w:val="000000"/>
          <w:sz w:val="24"/>
        </w:rPr>
        <w:t>的</w:t>
      </w:r>
      <w:r>
        <w:rPr>
          <w:color w:val="000000"/>
          <w:sz w:val="24"/>
        </w:rPr>
        <w:t>迁移速度则显著</w:t>
      </w:r>
      <w:r>
        <w:rPr>
          <w:rFonts w:hint="eastAsia"/>
          <w:color w:val="000000"/>
          <w:sz w:val="24"/>
        </w:rPr>
        <w:t>慢</w:t>
      </w:r>
      <w:r>
        <w:rPr>
          <w:color w:val="000000"/>
          <w:sz w:val="24"/>
        </w:rPr>
        <w:t>于阴性对照组。</w:t>
      </w:r>
      <w:r>
        <w:rPr>
          <w:color w:val="000000"/>
          <w:sz w:val="24"/>
        </w:rPr>
        <w:t>Transwell</w:t>
      </w:r>
      <w:r>
        <w:rPr>
          <w:color w:val="000000"/>
          <w:sz w:val="24"/>
        </w:rPr>
        <w:t>细胞迁移、侵袭实验结果显示：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瞬时过表达细胞株迁移、侵袭的细胞数量明显</w:t>
      </w:r>
      <w:r>
        <w:rPr>
          <w:rFonts w:hint="eastAsia"/>
          <w:color w:val="000000"/>
          <w:sz w:val="24"/>
        </w:rPr>
        <w:t>多于</w:t>
      </w:r>
      <w:r>
        <w:rPr>
          <w:color w:val="000000"/>
          <w:sz w:val="24"/>
        </w:rPr>
        <w:t>空载体组（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），而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干扰细胞株迁移、侵袭的细胞数量则显著</w:t>
      </w:r>
      <w:r>
        <w:rPr>
          <w:rFonts w:hint="eastAsia"/>
          <w:color w:val="000000"/>
          <w:sz w:val="24"/>
        </w:rPr>
        <w:t>少</w:t>
      </w:r>
      <w:r>
        <w:rPr>
          <w:color w:val="000000"/>
          <w:sz w:val="24"/>
        </w:rPr>
        <w:t>于阴性对照组（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4. GSEA</w:t>
      </w:r>
      <w:r>
        <w:rPr>
          <w:color w:val="000000"/>
          <w:sz w:val="24"/>
        </w:rPr>
        <w:t>基因富集分析结果显示：在基因芯片</w:t>
      </w:r>
      <w:r>
        <w:rPr>
          <w:color w:val="000000"/>
          <w:sz w:val="24"/>
        </w:rPr>
        <w:t>3744</w:t>
      </w:r>
      <w:r>
        <w:rPr>
          <w:color w:val="000000"/>
          <w:sz w:val="24"/>
        </w:rPr>
        <w:t>数据中，</w:t>
      </w:r>
      <w:r>
        <w:rPr>
          <w:color w:val="000000"/>
          <w:sz w:val="24"/>
        </w:rPr>
        <w:t>Focal adhesion</w:t>
      </w:r>
      <w:r>
        <w:rPr>
          <w:color w:val="000000"/>
          <w:sz w:val="24"/>
        </w:rPr>
        <w:t>信号通路在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高表达的乳腺癌中出现上调，并且通路相关基因显著富集</w:t>
      </w:r>
      <w:r>
        <w:rPr>
          <w:rFonts w:hint="eastAsia"/>
          <w:color w:val="000000"/>
          <w:sz w:val="24"/>
        </w:rPr>
        <w:t>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&lt;0.05</w:t>
      </w:r>
      <w:r>
        <w:rPr>
          <w:rFonts w:hint="eastAsia"/>
          <w:color w:val="000000"/>
          <w:sz w:val="24"/>
        </w:rPr>
        <w:t>）</w:t>
      </w:r>
      <w:r>
        <w:rPr>
          <w:color w:val="000000"/>
          <w:sz w:val="24"/>
        </w:rPr>
        <w:t>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5. Western blot</w:t>
      </w:r>
      <w:r>
        <w:rPr>
          <w:color w:val="000000"/>
          <w:sz w:val="24"/>
        </w:rPr>
        <w:t>检测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瞬时过表达和干扰的乳腺癌细胞株中</w:t>
      </w:r>
      <w:r>
        <w:rPr>
          <w:color w:val="000000"/>
          <w:sz w:val="24"/>
        </w:rPr>
        <w:t>FAK</w:t>
      </w:r>
      <w:r>
        <w:rPr>
          <w:color w:val="000000"/>
          <w:sz w:val="24"/>
        </w:rPr>
        <w:t>蛋白表达结果与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蛋白表达结果一致。</w:t>
      </w:r>
    </w:p>
    <w:p w:rsidR="00E60C92" w:rsidRDefault="00E60C92" w:rsidP="00E60C92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6. </w:t>
      </w:r>
      <w:r>
        <w:rPr>
          <w:color w:val="000000"/>
          <w:sz w:val="24"/>
        </w:rPr>
        <w:t>免疫荧光共定位结果显示：在乳腺癌细胞</w:t>
      </w:r>
      <w:r>
        <w:rPr>
          <w:color w:val="000000"/>
          <w:sz w:val="24"/>
        </w:rPr>
        <w:t>MCF-7</w:t>
      </w:r>
      <w:r>
        <w:rPr>
          <w:color w:val="000000"/>
          <w:sz w:val="24"/>
        </w:rPr>
        <w:t>、</w:t>
      </w:r>
      <w:r>
        <w:rPr>
          <w:color w:val="000000"/>
          <w:sz w:val="24"/>
        </w:rPr>
        <w:t>MDA-MB-231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MDA-MB-435S</w:t>
      </w:r>
      <w:r>
        <w:rPr>
          <w:color w:val="000000"/>
          <w:sz w:val="24"/>
        </w:rPr>
        <w:t>中均存在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FAK</w:t>
      </w:r>
      <w:r>
        <w:rPr>
          <w:color w:val="000000"/>
          <w:sz w:val="24"/>
        </w:rPr>
        <w:t>的共定位，共定位于细胞膜和细胞质。</w:t>
      </w:r>
      <w:r>
        <w:rPr>
          <w:color w:val="000000"/>
          <w:sz w:val="24"/>
        </w:rPr>
        <w:t>Co-IP</w:t>
      </w:r>
      <w:r>
        <w:rPr>
          <w:color w:val="000000"/>
          <w:sz w:val="24"/>
        </w:rPr>
        <w:t>实验结果显示：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FAK</w:t>
      </w:r>
      <w:r>
        <w:rPr>
          <w:color w:val="000000"/>
          <w:sz w:val="24"/>
        </w:rPr>
        <w:t>之间存在相互作用。</w:t>
      </w:r>
    </w:p>
    <w:p w:rsidR="00E60C92" w:rsidRPr="005F2251" w:rsidRDefault="00E60C92" w:rsidP="00E60C92">
      <w:pPr>
        <w:pStyle w:val="p0"/>
        <w:autoSpaceDN w:val="0"/>
        <w:spacing w:line="360" w:lineRule="auto"/>
        <w:ind w:firstLineChars="200" w:firstLine="482"/>
        <w:rPr>
          <w:b/>
          <w:sz w:val="24"/>
          <w:szCs w:val="24"/>
        </w:rPr>
      </w:pPr>
      <w:r w:rsidRPr="005F2251">
        <w:rPr>
          <w:rFonts w:hAnsi="宋体"/>
          <w:b/>
          <w:bCs/>
          <w:sz w:val="24"/>
          <w:szCs w:val="24"/>
        </w:rPr>
        <w:t>结论</w:t>
      </w:r>
      <w:r w:rsidRPr="005F2251">
        <w:rPr>
          <w:b/>
          <w:sz w:val="24"/>
          <w:szCs w:val="24"/>
        </w:rPr>
        <w:t xml:space="preserve">  </w:t>
      </w:r>
    </w:p>
    <w:p w:rsidR="00E60C92" w:rsidRDefault="00E60C92" w:rsidP="00E60C92">
      <w:pPr>
        <w:tabs>
          <w:tab w:val="left" w:pos="8100"/>
        </w:tabs>
        <w:autoSpaceDE w:val="0"/>
        <w:autoSpaceDN w:val="0"/>
        <w:adjustRightInd w:val="0"/>
        <w:spacing w:line="360" w:lineRule="auto"/>
        <w:ind w:right="-23" w:firstLineChars="150" w:firstLine="360"/>
        <w:rPr>
          <w:color w:val="000000"/>
          <w:sz w:val="24"/>
        </w:rPr>
      </w:pPr>
      <w:r w:rsidRPr="005F225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1</w:t>
      </w:r>
      <w:r>
        <w:rPr>
          <w:color w:val="000000"/>
          <w:sz w:val="24"/>
        </w:rPr>
        <w:t>．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在乳腺癌中高表达，并促进了乳腺癌细胞的增殖、迁移和侵袭能力。</w:t>
      </w:r>
    </w:p>
    <w:p w:rsidR="00E60C92" w:rsidRDefault="00E60C92" w:rsidP="00E60C92">
      <w:pPr>
        <w:tabs>
          <w:tab w:val="left" w:pos="8100"/>
        </w:tabs>
        <w:autoSpaceDE w:val="0"/>
        <w:autoSpaceDN w:val="0"/>
        <w:adjustRightInd w:val="0"/>
        <w:spacing w:line="360" w:lineRule="auto"/>
        <w:ind w:right="-23" w:firstLine="480"/>
        <w:rPr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color w:val="000000"/>
          <w:sz w:val="24"/>
        </w:rPr>
        <w:t>．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激活</w:t>
      </w:r>
      <w:r>
        <w:rPr>
          <w:color w:val="000000"/>
          <w:sz w:val="24"/>
        </w:rPr>
        <w:t>Focal adhesion</w:t>
      </w:r>
      <w:r>
        <w:rPr>
          <w:color w:val="000000"/>
          <w:sz w:val="24"/>
        </w:rPr>
        <w:t>信号通路活性，其分子机制可能与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FAK</w:t>
      </w:r>
      <w:r>
        <w:rPr>
          <w:color w:val="000000"/>
          <w:sz w:val="24"/>
        </w:rPr>
        <w:t>相互作用有关。</w:t>
      </w:r>
    </w:p>
    <w:p w:rsidR="008F6900" w:rsidRPr="00E60C92" w:rsidRDefault="00E60C92" w:rsidP="00E60C92">
      <w:pPr>
        <w:spacing w:line="360" w:lineRule="auto"/>
        <w:rPr>
          <w:color w:val="000000"/>
          <w:sz w:val="24"/>
        </w:rPr>
      </w:pPr>
      <w:r w:rsidRPr="005F2251">
        <w:rPr>
          <w:bCs/>
          <w:color w:val="000000"/>
          <w:sz w:val="28"/>
          <w:szCs w:val="28"/>
        </w:rPr>
        <w:t xml:space="preserve">   </w:t>
      </w:r>
      <w:r w:rsidRPr="005F2251">
        <w:rPr>
          <w:rFonts w:hAnsi="宋体"/>
          <w:b/>
          <w:bCs/>
          <w:color w:val="000000"/>
          <w:sz w:val="28"/>
          <w:szCs w:val="28"/>
        </w:rPr>
        <w:t>关键词</w:t>
      </w:r>
      <w:r w:rsidRPr="005F2251">
        <w:rPr>
          <w:color w:val="000000"/>
          <w:sz w:val="24"/>
        </w:rPr>
        <w:t xml:space="preserve">  </w:t>
      </w:r>
      <w:r>
        <w:rPr>
          <w:color w:val="000000"/>
          <w:sz w:val="24"/>
        </w:rPr>
        <w:t>PPAPDC1A</w:t>
      </w:r>
      <w:r>
        <w:rPr>
          <w:color w:val="000000"/>
          <w:sz w:val="24"/>
        </w:rPr>
        <w:t>基因；乳腺癌；增殖；迁移；侵袭</w:t>
      </w:r>
      <w:r>
        <w:rPr>
          <w:color w:val="000000"/>
          <w:sz w:val="24"/>
        </w:rPr>
        <w:t xml:space="preserve">  </w:t>
      </w:r>
    </w:p>
    <w:sectPr w:rsidR="008F6900" w:rsidRPr="00E60C92" w:rsidSect="00932F36">
      <w:pgSz w:w="11906" w:h="16838"/>
      <w:pgMar w:top="1701" w:right="1418" w:bottom="1701" w:left="170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49BCA"/>
    <w:multiLevelType w:val="singleLevel"/>
    <w:tmpl w:val="53649BC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0C92"/>
    <w:rsid w:val="00406F72"/>
    <w:rsid w:val="008F6900"/>
    <w:rsid w:val="00932F36"/>
    <w:rsid w:val="00964729"/>
    <w:rsid w:val="00E60C92"/>
    <w:rsid w:val="00E8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60C92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aidu.com/link?url=D2DRzXVQZtvB8iIndoh7WkzErXugZyQ-Hjqu9bDIALawyEA_WUVVh4NBwOthOK3FvEwwuHC5aLT51nJCRCD3Oq&amp;wd=&amp;eqid=e379ab9e001ae65d0000000356d8ed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2016-05-05T08:26:00Z</dcterms:created>
  <dcterms:modified xsi:type="dcterms:W3CDTF">2016-05-06T00:45:00Z</dcterms:modified>
</cp:coreProperties>
</file>