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12"/>
        <w:ind w:firstLine="0" w:firstLineChars="0"/>
        <w:jc w:val="center"/>
        <w:rPr>
          <w:kern w:val="2"/>
          <w:sz w:val="32"/>
          <w:szCs w:val="32"/>
        </w:rPr>
      </w:pPr>
      <w:bookmarkStart w:id="0" w:name="_Toc445907002"/>
    </w:p>
    <w:p>
      <w:pPr>
        <w:pStyle w:val="12"/>
        <w:ind w:firstLine="0" w:firstLineChars="0"/>
        <w:jc w:val="center"/>
        <w:rPr>
          <w:sz w:val="28"/>
          <w:szCs w:val="28"/>
        </w:rPr>
      </w:pPr>
      <w:r>
        <w:rPr>
          <w:kern w:val="2"/>
          <w:sz w:val="28"/>
          <w:szCs w:val="28"/>
        </w:rPr>
        <w:t>T</w:t>
      </w:r>
      <w:r>
        <w:rPr>
          <w:rFonts w:hint="eastAsia"/>
          <w:kern w:val="2"/>
          <w:sz w:val="28"/>
          <w:szCs w:val="28"/>
        </w:rPr>
        <w:t>细胞通过产生</w:t>
      </w:r>
      <w:r>
        <w:rPr>
          <w:kern w:val="2"/>
          <w:sz w:val="28"/>
          <w:szCs w:val="28"/>
        </w:rPr>
        <w:t>IFN-γ</w:t>
      </w:r>
      <w:r>
        <w:rPr>
          <w:rFonts w:hint="eastAsia"/>
          <w:kern w:val="2"/>
          <w:sz w:val="28"/>
          <w:szCs w:val="28"/>
        </w:rPr>
        <w:t>参与单核细胞增生李斯特菌感染免疫</w:t>
      </w:r>
      <w:bookmarkEnd w:id="0"/>
    </w:p>
    <w:p>
      <w:pPr>
        <w:pStyle w:val="16"/>
        <w:spacing w:line="400" w:lineRule="exact"/>
        <w:rPr>
          <w:rFonts w:hint="eastAsia"/>
          <w:bCs/>
          <w:sz w:val="24"/>
          <w:szCs w:val="24"/>
        </w:rPr>
      </w:pPr>
      <w:bookmarkStart w:id="1" w:name="_Toc445907003"/>
      <w:r>
        <w:rPr>
          <w:rFonts w:hint="eastAsia" w:hAnsi="宋体"/>
          <w:bCs/>
          <w:sz w:val="24"/>
          <w:szCs w:val="24"/>
          <w:lang w:val="en-US" w:eastAsia="zh-CN"/>
        </w:rPr>
        <w:t xml:space="preserve">                       </w:t>
      </w:r>
      <w:r>
        <w:rPr>
          <w:rFonts w:hint="eastAsia" w:hAnsi="宋体"/>
          <w:bCs/>
          <w:sz w:val="24"/>
          <w:szCs w:val="24"/>
        </w:rPr>
        <w:t>研</w:t>
      </w:r>
      <w:r>
        <w:rPr>
          <w:rFonts w:hint="eastAsia"/>
          <w:bCs/>
          <w:sz w:val="24"/>
          <w:szCs w:val="24"/>
        </w:rPr>
        <w:t xml:space="preserve"> </w:t>
      </w:r>
      <w:r>
        <w:rPr>
          <w:rFonts w:hint="eastAsia" w:hAnsi="宋体"/>
          <w:bCs/>
          <w:sz w:val="24"/>
          <w:szCs w:val="24"/>
        </w:rPr>
        <w:t>究</w:t>
      </w:r>
      <w:r>
        <w:rPr>
          <w:rFonts w:hint="eastAsia"/>
          <w:bCs/>
          <w:sz w:val="24"/>
          <w:szCs w:val="24"/>
        </w:rPr>
        <w:t xml:space="preserve"> </w:t>
      </w:r>
      <w:r>
        <w:rPr>
          <w:rFonts w:hint="eastAsia" w:hAnsi="宋体"/>
          <w:bCs/>
          <w:sz w:val="24"/>
          <w:szCs w:val="24"/>
        </w:rPr>
        <w:t>生：</w:t>
      </w:r>
      <w:r>
        <w:rPr>
          <w:rFonts w:hint="eastAsia" w:hAnsi="宋体"/>
          <w:bCs/>
          <w:sz w:val="24"/>
          <w:szCs w:val="24"/>
          <w:lang w:eastAsia="zh-CN"/>
        </w:rPr>
        <w:t>王兰平</w:t>
      </w:r>
    </w:p>
    <w:p>
      <w:pPr>
        <w:pStyle w:val="16"/>
        <w:spacing w:line="400" w:lineRule="exact"/>
        <w:jc w:val="center"/>
        <w:rPr>
          <w:rFonts w:hint="eastAsia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 xml:space="preserve"> 指导教师：</w:t>
      </w:r>
      <w:r>
        <w:rPr>
          <w:rFonts w:hint="eastAsia" w:hAnsi="宋体"/>
          <w:bCs/>
          <w:sz w:val="24"/>
          <w:szCs w:val="24"/>
          <w:lang w:eastAsia="zh-CN"/>
        </w:rPr>
        <w:t>刘恒兴、付升旗</w:t>
      </w:r>
    </w:p>
    <w:p>
      <w:pPr>
        <w:pStyle w:val="12"/>
        <w:ind w:left="0" w:leftChars="0" w:firstLine="0" w:firstLineChars="0"/>
        <w:rPr>
          <w:rFonts w:hint="eastAsia" w:hAnsi="黑体"/>
          <w:sz w:val="28"/>
          <w:szCs w:val="28"/>
        </w:rPr>
      </w:pPr>
    </w:p>
    <w:p>
      <w:pPr>
        <w:pStyle w:val="12"/>
        <w:ind w:firstLine="3640" w:firstLineChars="1300"/>
        <w:rPr>
          <w:rFonts w:hint="eastAsia" w:hAnsi="黑体" w:asciiTheme="minorHAnsi" w:eastAsiaTheme="minorEastAsia" w:cstheme="minorBidi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hAnsi="黑体" w:asciiTheme="minorHAnsi" w:eastAsiaTheme="minorEastAsia" w:cstheme="minorBidi"/>
          <w:b w:val="0"/>
          <w:bCs/>
          <w:kern w:val="0"/>
          <w:sz w:val="24"/>
          <w:szCs w:val="24"/>
          <w:lang w:val="en-US" w:eastAsia="zh-CN" w:bidi="ar-SA"/>
        </w:rPr>
        <w:t>摘 要</w:t>
      </w:r>
      <w:bookmarkEnd w:id="1"/>
    </w:p>
    <w:p>
      <w:pPr>
        <w:tabs>
          <w:tab w:val="left" w:pos="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2" w:name="OLE_LINK1"/>
    </w:p>
    <w:p>
      <w:pPr>
        <w:tabs>
          <w:tab w:val="left" w:pos="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背景 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700" w:firstLineChars="25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单核细胞增生李斯特氏菌（</w:t>
      </w: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t>Listeria monocytogenes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, Lm）是一种革兰阳性兼性厌氧菌，人体感染后一般表现为发热、胃肠炎，但婴幼儿、老年人以及免疫力低下人群感染后较为严重，可表现为败血症、脑膜炎和单核细胞极度增生等。该菌在4℃的环境中仍可生长繁殖，是</w:t>
      </w:r>
      <w:bookmarkStart w:id="3" w:name="OLE_LINK23"/>
      <w:bookmarkStart w:id="4" w:name="OLE_LINK24"/>
      <w:r>
        <w:rPr>
          <w:rFonts w:hint="eastAsia" w:ascii="宋体" w:hAnsi="宋体" w:eastAsia="宋体" w:cs="宋体"/>
          <w:color w:val="000000"/>
          <w:sz w:val="24"/>
          <w:szCs w:val="24"/>
        </w:rPr>
        <w:t>冷藏食品威胁人类健康的主要病原菌</w:t>
      </w:r>
      <w:bookmarkEnd w:id="3"/>
      <w:bookmarkEnd w:id="4"/>
      <w:r>
        <w:rPr>
          <w:rFonts w:hint="eastAsia" w:ascii="宋体" w:hAnsi="宋体" w:eastAsia="宋体" w:cs="宋体"/>
          <w:color w:val="000000"/>
          <w:sz w:val="24"/>
          <w:szCs w:val="24"/>
        </w:rPr>
        <w:t>之一。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700" w:firstLineChars="2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γ</w:t>
      </w:r>
      <w:r>
        <w:rPr>
          <w:rFonts w:hint="eastAsia" w:ascii="宋体" w:hAnsi="宋体" w:eastAsia="宋体" w:cs="宋体"/>
          <w:sz w:val="24"/>
          <w:szCs w:val="24"/>
        </w:rPr>
        <w:t>干扰素（IFN-γ）主要由活化的T细胞和</w:t>
      </w:r>
      <w:bookmarkStart w:id="5" w:name="OLE_LINK27"/>
      <w:bookmarkStart w:id="6" w:name="OLE_LINK28"/>
      <w:r>
        <w:rPr>
          <w:rFonts w:hint="eastAsia" w:ascii="宋体" w:hAnsi="宋体" w:eastAsia="宋体" w:cs="宋体"/>
          <w:sz w:val="24"/>
          <w:szCs w:val="24"/>
        </w:rPr>
        <w:t>DC</w:t>
      </w:r>
      <w:bookmarkEnd w:id="5"/>
      <w:bookmarkEnd w:id="6"/>
      <w:r>
        <w:rPr>
          <w:rFonts w:hint="eastAsia" w:ascii="宋体" w:hAnsi="宋体" w:eastAsia="宋体" w:cs="宋体"/>
          <w:sz w:val="24"/>
          <w:szCs w:val="24"/>
        </w:rPr>
        <w:t>细胞产生，它在细胞内病原体感染中起到保护作用。在单核细胞增生李斯特氏菌感染的小鼠中，T细胞可通过分泌大量的IFN-γ抑制细菌载量，IFN-γ可进一步活化单核巨噬细胞、NK细胞等参与细菌清除。国内外关于IFN-γ在人体感染单核细胞增生李斯特氏菌的作用的相关报道较少，本课题拟以健康体检者为对照，采用ELISA法检测患者与健康对照者外周血血清中IFN-γ的含量，RT-PCR检测外周血单个核细胞IFN-γ mRNA的含量，流式细胞术分析分泌IFN-γ的T细胞比例，探索T细胞通过IFN-γ参与单核细胞增生李斯特氏菌感染后的免疫情况。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700" w:firstLineChars="250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目的</w:t>
      </w:r>
    </w:p>
    <w:p>
      <w:pPr>
        <w:adjustRightInd w:val="0"/>
        <w:snapToGrid w:val="0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本课题通过检测外周血IFN-γ mRNA及蛋白表达、IFN-γ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+</w:t>
      </w:r>
      <w:r>
        <w:rPr>
          <w:rFonts w:hint="eastAsia" w:ascii="宋体" w:hAnsi="宋体" w:eastAsia="宋体" w:cs="宋体"/>
          <w:sz w:val="24"/>
          <w:szCs w:val="24"/>
        </w:rPr>
        <w:t>CD4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+</w:t>
      </w:r>
      <w:r>
        <w:rPr>
          <w:rFonts w:hint="eastAsia" w:ascii="宋体" w:hAnsi="宋体" w:eastAsia="宋体" w:cs="宋体"/>
          <w:sz w:val="24"/>
          <w:szCs w:val="24"/>
        </w:rPr>
        <w:t>T细胞的比例，探索T细胞通过分泌IFN-γ参与单核细胞增生李斯特氏菌感染后的免疫情况，为机体抗Lm感染免疫机制和减毒Lm的临床应用提供初步的理论依据。</w:t>
      </w:r>
    </w:p>
    <w:p>
      <w:pPr>
        <w:adjustRightInd w:val="0"/>
        <w:snapToGrid w:val="0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方法</w:t>
      </w:r>
    </w:p>
    <w:p>
      <w:pPr>
        <w:pStyle w:val="3"/>
        <w:tabs>
          <w:tab w:val="left" w:pos="690"/>
          <w:tab w:val="center" w:pos="4156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研究对象：2013年5月-2015年5月于驻马店市中心医院感染科就诊并确诊为Lm的感染者纳入病例组（Lm组），同期体检科健康体检者纳入对照组（</w:t>
      </w:r>
      <w:bookmarkStart w:id="7" w:name="OLE_LINK29"/>
      <w:bookmarkStart w:id="8" w:name="OLE_LINK30"/>
      <w:r>
        <w:rPr>
          <w:rFonts w:hint="eastAsia" w:ascii="宋体" w:hAnsi="宋体" w:eastAsia="宋体" w:cs="宋体"/>
          <w:sz w:val="24"/>
          <w:szCs w:val="24"/>
        </w:rPr>
        <w:t>HC</w:t>
      </w:r>
      <w:bookmarkEnd w:id="7"/>
      <w:bookmarkEnd w:id="8"/>
      <w:r>
        <w:rPr>
          <w:rFonts w:hint="eastAsia" w:ascii="宋体" w:hAnsi="宋体" w:eastAsia="宋体" w:cs="宋体"/>
          <w:sz w:val="24"/>
          <w:szCs w:val="24"/>
        </w:rPr>
        <w:t>组）。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样本收集和处理：</w:t>
      </w:r>
      <w:bookmarkStart w:id="9" w:name="OLE_LINK37"/>
      <w:bookmarkStart w:id="10" w:name="OLE_LINK36"/>
      <w:r>
        <w:rPr>
          <w:rFonts w:hint="eastAsia" w:ascii="宋体" w:hAnsi="宋体" w:eastAsia="宋体" w:cs="宋体"/>
          <w:sz w:val="24"/>
          <w:szCs w:val="24"/>
        </w:rPr>
        <w:t>收集病例组和对照组空腹血液10 ml，以肝素锂抗凝，分离血浆冻存，并采用Ficol分离法分离外周血单个核细胞，备用。</w:t>
      </w:r>
    </w:p>
    <w:bookmarkEnd w:id="9"/>
    <w:bookmarkEnd w:id="10"/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3. </w:t>
      </w:r>
      <w:bookmarkStart w:id="11" w:name="OLE_LINK12"/>
      <w:bookmarkStart w:id="12" w:name="OLE_LINK13"/>
      <w:r>
        <w:rPr>
          <w:rFonts w:hint="eastAsia" w:ascii="宋体" w:hAnsi="宋体" w:eastAsia="宋体" w:cs="宋体"/>
          <w:sz w:val="24"/>
          <w:szCs w:val="24"/>
        </w:rPr>
        <w:t>血浆IFN-γ水平的检测：</w:t>
      </w:r>
      <w:bookmarkEnd w:id="11"/>
      <w:bookmarkEnd w:id="12"/>
      <w:r>
        <w:rPr>
          <w:rFonts w:hint="eastAsia" w:ascii="宋体" w:hAnsi="宋体" w:eastAsia="宋体" w:cs="宋体"/>
          <w:sz w:val="24"/>
          <w:szCs w:val="24"/>
        </w:rPr>
        <w:t>采用人IFN-γ ELISA检测试剂盒，检测血浆IFN-γ含量。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 IFN-γ mRNA的检测：提取</w:t>
      </w:r>
      <w:bookmarkStart w:id="13" w:name="OLE_LINK17"/>
      <w:bookmarkStart w:id="14" w:name="OLE_LINK18"/>
      <w:r>
        <w:rPr>
          <w:rFonts w:hint="eastAsia" w:ascii="宋体" w:hAnsi="宋体" w:eastAsia="宋体" w:cs="宋体"/>
          <w:sz w:val="24"/>
          <w:szCs w:val="24"/>
        </w:rPr>
        <w:t>Lm患者和HC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对照者外周血单个核细胞</w:t>
      </w:r>
      <w:bookmarkEnd w:id="13"/>
      <w:bookmarkEnd w:id="14"/>
      <w:r>
        <w:rPr>
          <w:rFonts w:hint="eastAsia" w:ascii="宋体" w:hAnsi="宋体" w:eastAsia="宋体" w:cs="宋体"/>
          <w:color w:val="000000"/>
          <w:sz w:val="24"/>
          <w:szCs w:val="24"/>
        </w:rPr>
        <w:t>总RNA，经逆转录后，采用实时荧光定量PCR检测IFN-γ mRNA的表达情况。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5. IFN-γ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+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CD4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+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T细胞检测：采用多色荧光抗体结合流式细胞术检测并分析样本中I</w:t>
      </w:r>
      <w:r>
        <w:rPr>
          <w:rFonts w:hint="eastAsia" w:ascii="宋体" w:hAnsi="宋体" w:eastAsia="宋体" w:cs="宋体"/>
          <w:sz w:val="24"/>
          <w:szCs w:val="24"/>
        </w:rPr>
        <w:t>FN-γ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+</w:t>
      </w:r>
      <w:r>
        <w:rPr>
          <w:rFonts w:hint="eastAsia" w:ascii="宋体" w:hAnsi="宋体" w:eastAsia="宋体" w:cs="宋体"/>
          <w:sz w:val="24"/>
          <w:szCs w:val="24"/>
        </w:rPr>
        <w:t>CD4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+</w:t>
      </w:r>
      <w:r>
        <w:rPr>
          <w:rFonts w:hint="eastAsia" w:ascii="宋体" w:hAnsi="宋体" w:eastAsia="宋体" w:cs="宋体"/>
          <w:sz w:val="24"/>
          <w:szCs w:val="24"/>
        </w:rPr>
        <w:t>T细胞的比例。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6. 统计学方法：计量数据以均数加减标准差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z w:val="24"/>
          <w:szCs w:val="24"/>
          <w:u w:val="single"/>
          <w:vertAlign w:val="subscript"/>
        </w:rPr>
        <w:drawing>
          <wp:inline distT="0" distB="0" distL="0" distR="0">
            <wp:extent cx="323850" cy="209550"/>
            <wp:effectExtent l="19050" t="0" r="0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表示，两组间差异比较采用</w:t>
      </w:r>
      <w:r>
        <w:rPr>
          <w:rFonts w:hint="eastAsia" w:ascii="宋体" w:hAnsi="宋体" w:eastAsia="宋体" w:cs="宋体"/>
          <w:i/>
          <w:sz w:val="24"/>
          <w:szCs w:val="24"/>
        </w:rPr>
        <w:t>t</w:t>
      </w:r>
      <w:r>
        <w:rPr>
          <w:rFonts w:hint="eastAsia" w:ascii="宋体" w:hAnsi="宋体" w:eastAsia="宋体" w:cs="宋体"/>
          <w:sz w:val="24"/>
          <w:szCs w:val="24"/>
        </w:rPr>
        <w:t>检验，各组数据阳性率比较采用卡方检验。检验水准</w:t>
      </w:r>
      <w:r>
        <w:rPr>
          <w:rFonts w:hint="eastAsia" w:ascii="宋体" w:hAnsi="宋体" w:eastAsia="宋体" w:cs="宋体"/>
          <w:i/>
          <w:sz w:val="24"/>
          <w:szCs w:val="24"/>
        </w:rPr>
        <w:t>α</w:t>
      </w:r>
      <w:r>
        <w:rPr>
          <w:rFonts w:hint="eastAsia" w:ascii="宋体" w:hAnsi="宋体" w:eastAsia="宋体" w:cs="宋体"/>
          <w:iCs/>
          <w:sz w:val="24"/>
          <w:szCs w:val="24"/>
        </w:rPr>
        <w:t>=0.05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i/>
          <w:sz w:val="24"/>
          <w:szCs w:val="24"/>
        </w:rPr>
        <w:t>P</w:t>
      </w:r>
      <w:r>
        <w:rPr>
          <w:rFonts w:hint="eastAsia" w:ascii="宋体" w:hAnsi="宋体" w:eastAsia="宋体" w:cs="宋体"/>
          <w:sz w:val="24"/>
          <w:szCs w:val="24"/>
        </w:rPr>
        <w:t>&lt;0.05为差异有统计学意义。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结果</w:t>
      </w:r>
    </w:p>
    <w:p>
      <w:pPr>
        <w:pStyle w:val="3"/>
        <w:tabs>
          <w:tab w:val="left" w:pos="690"/>
          <w:tab w:val="center" w:pos="4156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1. 血浆IFN-γ含量：ELISA检测Lm组血浆IFN-γ含量为（7.26±4.99）pg/ml，高于HC组血浆IFN-γ含量（3.21±1.22）pg/ml，且差异有统计学意义。 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IFN-γ mRNA表达量：荧光定量 PCR</w:t>
      </w:r>
      <w:bookmarkStart w:id="15" w:name="OLE_LINK2"/>
      <w:bookmarkStart w:id="16" w:name="OLE_LINK16"/>
      <w:r>
        <w:rPr>
          <w:rFonts w:hint="eastAsia" w:ascii="宋体" w:hAnsi="宋体" w:eastAsia="宋体" w:cs="宋体"/>
          <w:sz w:val="24"/>
          <w:szCs w:val="24"/>
        </w:rPr>
        <w:t xml:space="preserve">检测Lm组外周血单个核细胞IFN-γ mRNA相对表达量为118.15±34.35，健康对照组为99.24±19.46，前者高于后者，且差异有显著统计学意义。 </w:t>
      </w:r>
    </w:p>
    <w:bookmarkEnd w:id="15"/>
    <w:bookmarkEnd w:id="16"/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3．IFN-γ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 xml:space="preserve">+ </w:t>
      </w:r>
      <w:r>
        <w:rPr>
          <w:rFonts w:hint="eastAsia" w:ascii="宋体" w:hAnsi="宋体" w:eastAsia="宋体" w:cs="宋体"/>
          <w:sz w:val="24"/>
          <w:szCs w:val="24"/>
        </w:rPr>
        <w:t>CD4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 xml:space="preserve">+ </w:t>
      </w:r>
      <w:r>
        <w:rPr>
          <w:rFonts w:hint="eastAsia" w:ascii="宋体" w:hAnsi="宋体" w:eastAsia="宋体" w:cs="宋体"/>
          <w:sz w:val="24"/>
          <w:szCs w:val="24"/>
        </w:rPr>
        <w:t>T细胞比例：流式细胞术分析Lm组IFN-γ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 xml:space="preserve">+ </w:t>
      </w:r>
      <w:r>
        <w:rPr>
          <w:rFonts w:hint="eastAsia" w:ascii="宋体" w:hAnsi="宋体" w:eastAsia="宋体" w:cs="宋体"/>
          <w:sz w:val="24"/>
          <w:szCs w:val="24"/>
        </w:rPr>
        <w:t>CD4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 xml:space="preserve">+ </w:t>
      </w:r>
      <w:r>
        <w:rPr>
          <w:rFonts w:hint="eastAsia" w:ascii="宋体" w:hAnsi="宋体" w:eastAsia="宋体" w:cs="宋体"/>
          <w:sz w:val="24"/>
          <w:szCs w:val="24"/>
        </w:rPr>
        <w:t>T细胞比例为（8.61±5.22）%，HC组IFN-γ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 xml:space="preserve">+ </w:t>
      </w:r>
      <w:r>
        <w:rPr>
          <w:rFonts w:hint="eastAsia" w:ascii="宋体" w:hAnsi="宋体" w:eastAsia="宋体" w:cs="宋体"/>
          <w:sz w:val="24"/>
          <w:szCs w:val="24"/>
        </w:rPr>
        <w:t>CD4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 xml:space="preserve">+ </w:t>
      </w:r>
      <w:r>
        <w:rPr>
          <w:rFonts w:hint="eastAsia" w:ascii="宋体" w:hAnsi="宋体" w:eastAsia="宋体" w:cs="宋体"/>
          <w:sz w:val="24"/>
          <w:szCs w:val="24"/>
        </w:rPr>
        <w:t>T细胞比例为（5.76±1.23）%，前者高于后者，且差异有显著统计学意义。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tabs>
          <w:tab w:val="left" w:pos="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结论</w:t>
      </w:r>
      <w:bookmarkEnd w:id="2"/>
    </w:p>
    <w:p>
      <w:pPr>
        <w:adjustRightInd w:val="0"/>
        <w:snapToGrid w:val="0"/>
        <w:spacing w:line="360" w:lineRule="auto"/>
        <w:ind w:firstLine="42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Lm病例组外周血IFN-γ mRNA及蛋白表达均高于健康对照组；</w:t>
      </w:r>
    </w:p>
    <w:p>
      <w:pPr>
        <w:adjustRightInd w:val="0"/>
        <w:snapToGrid w:val="0"/>
        <w:spacing w:line="360" w:lineRule="auto"/>
        <w:ind w:firstLine="420" w:firstLineChars="15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 L</w:t>
      </w:r>
      <w:r>
        <w:rPr>
          <w:rFonts w:hint="eastAsia" w:ascii="宋体" w:hAnsi="宋体" w:eastAsia="宋体" w:cs="宋体"/>
          <w:sz w:val="24"/>
          <w:szCs w:val="24"/>
        </w:rPr>
        <w:t>m病例组</w:t>
      </w:r>
      <w:r>
        <w:rPr>
          <w:rFonts w:hint="eastAsia" w:ascii="宋体" w:hAnsi="宋体" w:eastAsia="宋体" w:cs="宋体"/>
          <w:bCs/>
          <w:sz w:val="24"/>
          <w:szCs w:val="24"/>
        </w:rPr>
        <w:t>外周血IFN-γ</w:t>
      </w:r>
      <w:r>
        <w:rPr>
          <w:rFonts w:hint="eastAsia" w:ascii="宋体" w:hAnsi="宋体" w:eastAsia="宋体" w:cs="宋体"/>
          <w:bCs/>
          <w:sz w:val="24"/>
          <w:szCs w:val="24"/>
          <w:vertAlign w:val="superscript"/>
        </w:rPr>
        <w:t>+</w:t>
      </w:r>
      <w:r>
        <w:rPr>
          <w:rFonts w:hint="eastAsia" w:ascii="宋体" w:hAnsi="宋体" w:eastAsia="宋体" w:cs="宋体"/>
          <w:bCs/>
          <w:sz w:val="24"/>
          <w:szCs w:val="24"/>
        </w:rPr>
        <w:t>CD4</w:t>
      </w:r>
      <w:r>
        <w:rPr>
          <w:rFonts w:hint="eastAsia" w:ascii="宋体" w:hAnsi="宋体" w:eastAsia="宋体" w:cs="宋体"/>
          <w:bCs/>
          <w:sz w:val="24"/>
          <w:szCs w:val="24"/>
          <w:vertAlign w:val="superscript"/>
        </w:rPr>
        <w:t>+</w:t>
      </w:r>
      <w:r>
        <w:rPr>
          <w:rFonts w:hint="eastAsia" w:ascii="宋体" w:hAnsi="宋体" w:eastAsia="宋体" w:cs="宋体"/>
          <w:bCs/>
          <w:sz w:val="24"/>
          <w:szCs w:val="24"/>
        </w:rPr>
        <w:t xml:space="preserve"> T细胞比例增加，即T细胞可通过高表达IFN-γ参与Lm感染的免疫。</w:t>
      </w:r>
    </w:p>
    <w:p>
      <w:pPr>
        <w:adjustRightInd w:val="0"/>
        <w:snapToGrid w:val="0"/>
        <w:spacing w:line="360" w:lineRule="auto"/>
        <w:ind w:firstLine="420" w:firstLineChars="150"/>
        <w:rPr>
          <w:rFonts w:hint="eastAsia" w:ascii="宋体" w:hAnsi="宋体" w:eastAsia="宋体" w:cs="宋体"/>
          <w:bCs/>
          <w:sz w:val="24"/>
          <w:szCs w:val="24"/>
        </w:rPr>
      </w:pPr>
    </w:p>
    <w:p>
      <w:pPr>
        <w:tabs>
          <w:tab w:val="left" w:pos="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 xml:space="preserve">关键词  </w:t>
      </w:r>
      <w:r>
        <w:rPr>
          <w:rFonts w:hint="eastAsia" w:ascii="宋体" w:hAnsi="宋体" w:eastAsia="宋体" w:cs="宋体"/>
          <w:sz w:val="24"/>
          <w:szCs w:val="24"/>
        </w:rPr>
        <w:t>单核细胞增生李斯特氏菌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；T细胞；γ干扰素；感染</w:t>
      </w:r>
      <w:bookmarkStart w:id="17" w:name="_GoBack"/>
      <w:bookmarkEnd w:id="1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ourier">
    <w:altName w:val="Courier New"/>
    <w:panose1 w:val="02070409020205020404"/>
    <w:charset w:val="00"/>
    <w:family w:val="decorative"/>
    <w:pitch w:val="default"/>
    <w:sig w:usb0="00000000" w:usb1="00000000" w:usb2="00000000" w:usb3="00000000" w:csb0="00000001" w:csb1="00000000"/>
  </w:font>
  <w:font w:name="_x000B__x000C_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dobeSongStd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7D31"/>
    <w:rsid w:val="00104033"/>
    <w:rsid w:val="001920E9"/>
    <w:rsid w:val="00213DAA"/>
    <w:rsid w:val="003C7C98"/>
    <w:rsid w:val="004113C5"/>
    <w:rsid w:val="00487D31"/>
    <w:rsid w:val="004F233C"/>
    <w:rsid w:val="0062360B"/>
    <w:rsid w:val="006A00F8"/>
    <w:rsid w:val="00885190"/>
    <w:rsid w:val="00AA02C6"/>
    <w:rsid w:val="00B46A4D"/>
    <w:rsid w:val="00BA6370"/>
    <w:rsid w:val="00BD3E28"/>
    <w:rsid w:val="00C62921"/>
    <w:rsid w:val="00CF168B"/>
    <w:rsid w:val="00DD6CD7"/>
    <w:rsid w:val="00F45A22"/>
    <w:rsid w:val="1D77645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unhideWhenUsed/>
    <w:uiPriority w:val="99"/>
    <w:rPr>
      <w:rFonts w:ascii="宋体" w:hAnsi="Courier New" w:cs="Courier New"/>
      <w:kern w:val="0"/>
      <w:szCs w:val="21"/>
    </w:rPr>
  </w:style>
  <w:style w:type="paragraph" w:styleId="4">
    <w:name w:val="Balloon Text"/>
    <w:basedOn w:val="1"/>
    <w:link w:val="15"/>
    <w:unhideWhenUsed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7"/>
    <w:link w:val="6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5"/>
    <w:semiHidden/>
    <w:uiPriority w:val="99"/>
    <w:rPr>
      <w:sz w:val="18"/>
      <w:szCs w:val="18"/>
    </w:rPr>
  </w:style>
  <w:style w:type="character" w:customStyle="1" w:styleId="11">
    <w:name w:val="纯文本 Char"/>
    <w:basedOn w:val="7"/>
    <w:link w:val="3"/>
    <w:semiHidden/>
    <w:uiPriority w:val="99"/>
    <w:rPr>
      <w:rFonts w:ascii="宋体" w:hAnsi="Courier New" w:eastAsia="宋体" w:cs="Courier New"/>
      <w:szCs w:val="21"/>
    </w:rPr>
  </w:style>
  <w:style w:type="paragraph" w:customStyle="1" w:styleId="12">
    <w:name w:val="样式1"/>
    <w:basedOn w:val="2"/>
    <w:next w:val="1"/>
    <w:uiPriority w:val="0"/>
    <w:pPr>
      <w:tabs>
        <w:tab w:val="left" w:pos="0"/>
      </w:tabs>
      <w:adjustRightInd w:val="0"/>
      <w:snapToGrid w:val="0"/>
      <w:spacing w:before="0" w:after="0" w:line="360" w:lineRule="auto"/>
      <w:ind w:firstLine="300" w:firstLineChars="300"/>
    </w:pPr>
    <w:rPr>
      <w:rFonts w:eastAsia="黑体"/>
      <w:b w:val="0"/>
      <w:color w:val="000000"/>
      <w:sz w:val="30"/>
      <w:szCs w:val="24"/>
    </w:rPr>
  </w:style>
  <w:style w:type="character" w:customStyle="1" w:styleId="13">
    <w:name w:val="纯文本 Char1"/>
    <w:basedOn w:val="7"/>
    <w:link w:val="3"/>
    <w:semiHidden/>
    <w:locked/>
    <w:uiPriority w:val="99"/>
    <w:rPr>
      <w:rFonts w:ascii="宋体" w:hAnsi="Courier New" w:eastAsia="宋体" w:cs="Courier New"/>
      <w:kern w:val="0"/>
      <w:szCs w:val="21"/>
    </w:rPr>
  </w:style>
  <w:style w:type="character" w:customStyle="1" w:styleId="14">
    <w:name w:val="标题 1 Char"/>
    <w:basedOn w:val="7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5">
    <w:name w:val="批注框文本 Char"/>
    <w:basedOn w:val="7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6">
    <w:name w:val="p0"/>
    <w:basedOn w:val="1"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219</Words>
  <Characters>1249</Characters>
  <Lines>10</Lines>
  <Paragraphs>2</Paragraphs>
  <TotalTime>0</TotalTime>
  <ScaleCrop>false</ScaleCrop>
  <LinksUpToDate>false</LinksUpToDate>
  <CharactersWithSpaces>1466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2016-05-08T13:44:00Z</dcterms:created>
  <dc:creator>DaiYC</dc:creator>
  <cp:lastModifiedBy>Administrator</cp:lastModifiedBy>
  <dcterms:modified xsi:type="dcterms:W3CDTF">2016-05-12T01:48:31Z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