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A89" w:rsidRPr="00F67416" w:rsidRDefault="008A2A89" w:rsidP="008A2A89">
      <w:pPr>
        <w:pStyle w:val="p0"/>
        <w:spacing w:line="400" w:lineRule="exact"/>
        <w:jc w:val="center"/>
        <w:rPr>
          <w:rFonts w:ascii="黑体" w:eastAsia="黑体" w:hAnsi="黑体"/>
          <w:b/>
          <w:bCs/>
          <w:sz w:val="30"/>
          <w:szCs w:val="30"/>
        </w:rPr>
      </w:pPr>
      <w:bookmarkStart w:id="0" w:name="_Toc446003496"/>
      <w:r w:rsidRPr="00F67416">
        <w:rPr>
          <w:rFonts w:ascii="黑体" w:eastAsia="黑体" w:hAnsi="黑体" w:hint="eastAsia"/>
          <w:b/>
          <w:bCs/>
          <w:sz w:val="30"/>
          <w:szCs w:val="30"/>
        </w:rPr>
        <w:t>脐带间充质干细胞联合尼莫地平对放射性脑损伤小鼠模型的神经保护作用</w:t>
      </w:r>
    </w:p>
    <w:p w:rsidR="008A2A89" w:rsidRPr="008A2A89" w:rsidRDefault="008A2A89" w:rsidP="008A2A89">
      <w:pPr>
        <w:pStyle w:val="p0"/>
        <w:spacing w:line="400" w:lineRule="exact"/>
        <w:jc w:val="center"/>
        <w:rPr>
          <w:rFonts w:ascii="宋体" w:hAnsi="宋体"/>
          <w:bCs/>
          <w:sz w:val="24"/>
          <w:szCs w:val="24"/>
        </w:rPr>
      </w:pPr>
      <w:r w:rsidRPr="008A2A89">
        <w:rPr>
          <w:rFonts w:ascii="宋体" w:hAnsi="宋体" w:hint="eastAsia"/>
          <w:bCs/>
          <w:sz w:val="24"/>
          <w:szCs w:val="24"/>
        </w:rPr>
        <w:t xml:space="preserve">研 究 </w:t>
      </w:r>
      <w:r>
        <w:rPr>
          <w:rFonts w:ascii="宋体" w:hAnsi="宋体" w:hint="eastAsia"/>
          <w:bCs/>
          <w:sz w:val="24"/>
          <w:szCs w:val="24"/>
        </w:rPr>
        <w:t>生：王桂华</w:t>
      </w:r>
      <w:r w:rsidRPr="008A2A89">
        <w:rPr>
          <w:rFonts w:ascii="宋体" w:hAnsi="宋体" w:hint="eastAsia"/>
          <w:bCs/>
          <w:sz w:val="24"/>
          <w:szCs w:val="24"/>
        </w:rPr>
        <w:t xml:space="preserve">            </w:t>
      </w:r>
    </w:p>
    <w:p w:rsidR="008A2A89" w:rsidRDefault="008A2A89" w:rsidP="008A2A89">
      <w:pPr>
        <w:pStyle w:val="p0"/>
        <w:spacing w:line="400" w:lineRule="exact"/>
        <w:jc w:val="center"/>
        <w:rPr>
          <w:rFonts w:ascii="宋体" w:hAnsi="宋体" w:hint="eastAsia"/>
          <w:bCs/>
          <w:sz w:val="24"/>
          <w:szCs w:val="24"/>
        </w:rPr>
      </w:pPr>
      <w:r w:rsidRPr="008A2A89">
        <w:rPr>
          <w:rFonts w:ascii="宋体" w:hAnsi="宋体" w:hint="eastAsia"/>
          <w:bCs/>
          <w:sz w:val="24"/>
          <w:szCs w:val="24"/>
        </w:rPr>
        <w:t>指导教师：</w:t>
      </w:r>
      <w:r w:rsidR="00F67416">
        <w:rPr>
          <w:rFonts w:ascii="宋体" w:hAnsi="宋体" w:hint="eastAsia"/>
          <w:bCs/>
          <w:sz w:val="24"/>
          <w:szCs w:val="24"/>
        </w:rPr>
        <w:t>李  彤</w:t>
      </w:r>
    </w:p>
    <w:p w:rsidR="00DF4954" w:rsidRPr="00DF4954" w:rsidRDefault="00DF4954" w:rsidP="008A2A89">
      <w:pPr>
        <w:pStyle w:val="p0"/>
        <w:spacing w:line="400" w:lineRule="exact"/>
        <w:jc w:val="center"/>
        <w:rPr>
          <w:rFonts w:ascii="宋体" w:hAnsi="宋体"/>
          <w:bCs/>
          <w:sz w:val="24"/>
          <w:szCs w:val="24"/>
        </w:rPr>
      </w:pPr>
    </w:p>
    <w:p w:rsidR="004A26ED" w:rsidRPr="008A2A89" w:rsidRDefault="004A26ED" w:rsidP="008A2A89">
      <w:pPr>
        <w:jc w:val="center"/>
        <w:rPr>
          <w:rFonts w:ascii="黑体" w:eastAsia="黑体" w:hAnsi="黑体"/>
          <w:sz w:val="24"/>
        </w:rPr>
      </w:pPr>
      <w:r w:rsidRPr="008A2A89">
        <w:rPr>
          <w:rFonts w:ascii="黑体" w:eastAsia="黑体" w:hAnsi="黑体"/>
          <w:sz w:val="24"/>
        </w:rPr>
        <w:t>摘要</w:t>
      </w:r>
      <w:bookmarkEnd w:id="0"/>
    </w:p>
    <w:p w:rsidR="00F67416" w:rsidRDefault="004A26ED" w:rsidP="00F67416">
      <w:pPr>
        <w:autoSpaceDE w:val="0"/>
        <w:autoSpaceDN w:val="0"/>
        <w:adjustRightInd w:val="0"/>
        <w:spacing w:line="360" w:lineRule="auto"/>
        <w:ind w:firstLineChars="200" w:firstLine="480"/>
        <w:rPr>
          <w:sz w:val="24"/>
        </w:rPr>
      </w:pPr>
      <w:r w:rsidRPr="00F67416">
        <w:rPr>
          <w:rFonts w:ascii="黑体" w:eastAsia="黑体" w:hAnsi="黑体"/>
          <w:sz w:val="24"/>
        </w:rPr>
        <w:t>目的</w:t>
      </w:r>
      <w:r w:rsidRPr="008A2A89">
        <w:rPr>
          <w:rFonts w:hint="eastAsia"/>
          <w:sz w:val="24"/>
        </w:rPr>
        <w:t xml:space="preserve"> </w:t>
      </w:r>
    </w:p>
    <w:p w:rsidR="004A26ED" w:rsidRPr="008A2A89" w:rsidRDefault="004A26ED" w:rsidP="00F67416">
      <w:pPr>
        <w:autoSpaceDE w:val="0"/>
        <w:autoSpaceDN w:val="0"/>
        <w:adjustRightInd w:val="0"/>
        <w:spacing w:line="360" w:lineRule="auto"/>
        <w:ind w:firstLineChars="200" w:firstLine="480"/>
        <w:rPr>
          <w:sz w:val="24"/>
        </w:rPr>
      </w:pPr>
      <w:r w:rsidRPr="008A2A89">
        <w:rPr>
          <w:rFonts w:hint="eastAsia"/>
          <w:sz w:val="24"/>
        </w:rPr>
        <w:t>本实验</w:t>
      </w:r>
      <w:r w:rsidRPr="008A2A89">
        <w:rPr>
          <w:sz w:val="24"/>
        </w:rPr>
        <w:t>观察</w:t>
      </w:r>
      <w:proofErr w:type="spellStart"/>
      <w:r w:rsidRPr="008A2A89">
        <w:rPr>
          <w:sz w:val="24"/>
        </w:rPr>
        <w:t>hUC</w:t>
      </w:r>
      <w:proofErr w:type="spellEnd"/>
      <w:r w:rsidRPr="008A2A89">
        <w:rPr>
          <w:sz w:val="24"/>
        </w:rPr>
        <w:t>-MSCs</w:t>
      </w:r>
      <w:r w:rsidRPr="008A2A89">
        <w:rPr>
          <w:rFonts w:hint="eastAsia"/>
          <w:sz w:val="24"/>
        </w:rPr>
        <w:t>及</w:t>
      </w:r>
      <w:proofErr w:type="spellStart"/>
      <w:r w:rsidRPr="008A2A89">
        <w:rPr>
          <w:sz w:val="24"/>
        </w:rPr>
        <w:t>hUC</w:t>
      </w:r>
      <w:proofErr w:type="spellEnd"/>
      <w:r w:rsidRPr="008A2A89">
        <w:rPr>
          <w:sz w:val="24"/>
        </w:rPr>
        <w:t>-MSCs</w:t>
      </w:r>
      <w:r w:rsidRPr="008A2A89">
        <w:rPr>
          <w:sz w:val="24"/>
        </w:rPr>
        <w:t>联合尼莫地平治疗放射性脑损伤的效果</w:t>
      </w:r>
      <w:r w:rsidRPr="008A2A89">
        <w:rPr>
          <w:rFonts w:hint="eastAsia"/>
          <w:sz w:val="24"/>
        </w:rPr>
        <w:t>，</w:t>
      </w:r>
      <w:r w:rsidRPr="008A2A89">
        <w:rPr>
          <w:sz w:val="24"/>
        </w:rPr>
        <w:t>探讨其有效治疗放射性脑病的可能机制。</w:t>
      </w:r>
    </w:p>
    <w:p w:rsidR="00F67416" w:rsidRDefault="004A26ED" w:rsidP="00F67416">
      <w:pPr>
        <w:spacing w:line="360" w:lineRule="auto"/>
        <w:ind w:firstLineChars="200" w:firstLine="480"/>
        <w:rPr>
          <w:rFonts w:ascii="黑体" w:eastAsia="黑体" w:hAnsi="黑体"/>
          <w:sz w:val="24"/>
        </w:rPr>
      </w:pPr>
      <w:r w:rsidRPr="00F67416">
        <w:rPr>
          <w:rFonts w:ascii="黑体" w:eastAsia="黑体" w:hAnsi="黑体"/>
          <w:sz w:val="24"/>
        </w:rPr>
        <w:t>方法</w:t>
      </w:r>
      <w:r w:rsidRPr="00F67416">
        <w:rPr>
          <w:rFonts w:ascii="黑体" w:eastAsia="黑体" w:hAnsi="黑体" w:hint="eastAsia"/>
          <w:sz w:val="24"/>
        </w:rPr>
        <w:t xml:space="preserve"> </w:t>
      </w:r>
    </w:p>
    <w:p w:rsidR="004A26ED" w:rsidRPr="008A2A89" w:rsidRDefault="004A26ED" w:rsidP="00F67416">
      <w:pPr>
        <w:spacing w:line="360" w:lineRule="auto"/>
        <w:ind w:firstLineChars="200" w:firstLine="480"/>
        <w:rPr>
          <w:rFonts w:eastAsiaTheme="minorEastAsia"/>
          <w:b/>
          <w:sz w:val="24"/>
        </w:rPr>
      </w:pPr>
      <w:r w:rsidRPr="008A2A89">
        <w:rPr>
          <w:rFonts w:eastAsiaTheme="minorEastAsia" w:hint="eastAsia"/>
          <w:sz w:val="24"/>
        </w:rPr>
        <w:t>用</w:t>
      </w:r>
      <w:r w:rsidRPr="008A2A89">
        <w:rPr>
          <w:rFonts w:eastAsiaTheme="minorEastAsia"/>
          <w:sz w:val="24"/>
        </w:rPr>
        <w:t>组织贴壁法从脐带中获得</w:t>
      </w:r>
      <w:proofErr w:type="spellStart"/>
      <w:r w:rsidRPr="008A2A89">
        <w:rPr>
          <w:sz w:val="24"/>
        </w:rPr>
        <w:t>hUC</w:t>
      </w:r>
      <w:proofErr w:type="spellEnd"/>
      <w:r w:rsidRPr="008A2A89">
        <w:rPr>
          <w:sz w:val="24"/>
        </w:rPr>
        <w:t>-MSCs</w:t>
      </w:r>
      <w:r w:rsidRPr="008A2A89">
        <w:rPr>
          <w:rFonts w:eastAsiaTheme="minorEastAsia"/>
          <w:sz w:val="24"/>
        </w:rPr>
        <w:t>用于细胞治疗</w:t>
      </w:r>
      <w:bookmarkStart w:id="1" w:name="OLE_LINK157"/>
      <w:bookmarkStart w:id="2" w:name="OLE_LINK158"/>
      <w:r w:rsidRPr="008A2A89">
        <w:rPr>
          <w:rFonts w:eastAsiaTheme="minorEastAsia" w:hint="eastAsia"/>
          <w:sz w:val="24"/>
        </w:rPr>
        <w:t>，</w:t>
      </w:r>
      <w:r w:rsidRPr="008A2A89">
        <w:rPr>
          <w:rFonts w:eastAsiaTheme="minorEastAsia"/>
          <w:sz w:val="24"/>
        </w:rPr>
        <w:t>6-8</w:t>
      </w:r>
      <w:r w:rsidRPr="008A2A89">
        <w:rPr>
          <w:rFonts w:eastAsiaTheme="minorEastAsia"/>
          <w:sz w:val="24"/>
        </w:rPr>
        <w:t>周</w:t>
      </w:r>
      <w:r w:rsidRPr="008A2A89">
        <w:rPr>
          <w:sz w:val="24"/>
        </w:rPr>
        <w:t>雌性小鼠</w:t>
      </w:r>
      <w:r w:rsidRPr="008A2A89">
        <w:rPr>
          <w:sz w:val="24"/>
        </w:rPr>
        <w:t>50</w:t>
      </w:r>
      <w:r w:rsidRPr="008A2A89">
        <w:rPr>
          <w:sz w:val="24"/>
        </w:rPr>
        <w:t>只，</w:t>
      </w:r>
      <w:r w:rsidRPr="008A2A89">
        <w:rPr>
          <w:rFonts w:eastAsiaTheme="minorEastAsia"/>
          <w:sz w:val="24"/>
        </w:rPr>
        <w:t>给予单次</w:t>
      </w:r>
      <w:r w:rsidRPr="008A2A89">
        <w:rPr>
          <w:rFonts w:eastAsiaTheme="minorEastAsia"/>
          <w:sz w:val="24"/>
        </w:rPr>
        <w:t>15</w:t>
      </w:r>
      <w:r w:rsidRPr="008A2A89">
        <w:rPr>
          <w:sz w:val="24"/>
        </w:rPr>
        <w:t>Gy</w:t>
      </w:r>
      <w:r w:rsidRPr="008A2A89">
        <w:rPr>
          <w:sz w:val="24"/>
        </w:rPr>
        <w:t>剂量</w:t>
      </w:r>
      <w:r w:rsidRPr="008A2A89">
        <w:rPr>
          <w:sz w:val="24"/>
          <w:vertAlign w:val="superscript"/>
        </w:rPr>
        <w:t>60</w:t>
      </w:r>
      <w:r w:rsidRPr="008A2A89">
        <w:rPr>
          <w:sz w:val="24"/>
        </w:rPr>
        <w:t>Coγ</w:t>
      </w:r>
      <w:r w:rsidRPr="008A2A89">
        <w:rPr>
          <w:sz w:val="24"/>
        </w:rPr>
        <w:t>射线全脑照射后，随机分为正常对照组、全脑照射组、尼莫地平治疗组、间充质干细胞治疗组、间充质干细胞联合尼莫地平治疗组。</w:t>
      </w:r>
      <w:bookmarkStart w:id="3" w:name="OLE_LINK156"/>
      <w:bookmarkEnd w:id="1"/>
      <w:bookmarkEnd w:id="2"/>
      <w:r w:rsidRPr="008A2A89">
        <w:rPr>
          <w:sz w:val="24"/>
        </w:rPr>
        <w:t>每周观察体重变化</w:t>
      </w:r>
      <w:r w:rsidRPr="008A2A89">
        <w:rPr>
          <w:rFonts w:hint="eastAsia"/>
          <w:sz w:val="24"/>
        </w:rPr>
        <w:t>；</w:t>
      </w:r>
      <w:r w:rsidRPr="008A2A89">
        <w:rPr>
          <w:sz w:val="24"/>
        </w:rPr>
        <w:t>治疗</w:t>
      </w:r>
      <w:bookmarkEnd w:id="3"/>
      <w:r w:rsidRPr="008A2A89">
        <w:rPr>
          <w:sz w:val="24"/>
        </w:rPr>
        <w:t>4</w:t>
      </w:r>
      <w:r w:rsidRPr="008A2A89">
        <w:rPr>
          <w:sz w:val="24"/>
        </w:rPr>
        <w:t>周和</w:t>
      </w:r>
      <w:r w:rsidRPr="008A2A89">
        <w:rPr>
          <w:sz w:val="24"/>
        </w:rPr>
        <w:t>12</w:t>
      </w:r>
      <w:r w:rsidRPr="008A2A89">
        <w:rPr>
          <w:sz w:val="24"/>
        </w:rPr>
        <w:t>周给予小鼠旷场实验和跳台实验检测自主运动、焦虑、记忆等行为学变化；治疗</w:t>
      </w:r>
      <w:r w:rsidRPr="008A2A89">
        <w:rPr>
          <w:sz w:val="24"/>
        </w:rPr>
        <w:t>12</w:t>
      </w:r>
      <w:r w:rsidRPr="008A2A89">
        <w:rPr>
          <w:sz w:val="24"/>
        </w:rPr>
        <w:t>周后，通过</w:t>
      </w:r>
      <w:r w:rsidRPr="008A2A89">
        <w:rPr>
          <w:sz w:val="24"/>
        </w:rPr>
        <w:t>HE</w:t>
      </w:r>
      <w:r w:rsidRPr="008A2A89">
        <w:rPr>
          <w:sz w:val="24"/>
        </w:rPr>
        <w:t>染色</w:t>
      </w:r>
      <w:r w:rsidRPr="008A2A89">
        <w:rPr>
          <w:rFonts w:hint="eastAsia"/>
          <w:sz w:val="24"/>
        </w:rPr>
        <w:t>、</w:t>
      </w:r>
      <w:r w:rsidRPr="008A2A89">
        <w:rPr>
          <w:sz w:val="24"/>
        </w:rPr>
        <w:t>免疫组化观察神经细胞形态变化，通过</w:t>
      </w:r>
      <w:r w:rsidRPr="008A2A89">
        <w:rPr>
          <w:sz w:val="24"/>
        </w:rPr>
        <w:t>Western Blot</w:t>
      </w:r>
      <w:r w:rsidRPr="008A2A89">
        <w:rPr>
          <w:sz w:val="24"/>
        </w:rPr>
        <w:t>和</w:t>
      </w:r>
      <w:r w:rsidRPr="008A2A89">
        <w:rPr>
          <w:sz w:val="24"/>
        </w:rPr>
        <w:t>q-PCR</w:t>
      </w:r>
      <w:r w:rsidRPr="008A2A89">
        <w:rPr>
          <w:sz w:val="24"/>
        </w:rPr>
        <w:t>做凋亡检测。</w:t>
      </w:r>
    </w:p>
    <w:p w:rsidR="004A26ED" w:rsidRPr="00F67416" w:rsidRDefault="004A26ED" w:rsidP="00F67416">
      <w:pPr>
        <w:spacing w:line="360" w:lineRule="auto"/>
        <w:ind w:firstLineChars="200" w:firstLine="480"/>
        <w:rPr>
          <w:rFonts w:ascii="黑体" w:eastAsia="黑体" w:hAnsi="黑体"/>
          <w:sz w:val="24"/>
        </w:rPr>
      </w:pPr>
      <w:r w:rsidRPr="00F67416">
        <w:rPr>
          <w:rFonts w:ascii="黑体" w:eastAsia="黑体" w:hAnsi="黑体"/>
          <w:sz w:val="24"/>
        </w:rPr>
        <w:t>结果</w:t>
      </w:r>
    </w:p>
    <w:p w:rsidR="004A26ED" w:rsidRPr="008A2A89" w:rsidRDefault="004A26ED" w:rsidP="00F67416">
      <w:pPr>
        <w:spacing w:line="360" w:lineRule="auto"/>
        <w:ind w:firstLineChars="200" w:firstLine="480"/>
        <w:rPr>
          <w:rFonts w:eastAsiaTheme="minorEastAsia"/>
          <w:sz w:val="24"/>
        </w:rPr>
      </w:pPr>
      <w:r w:rsidRPr="008A2A89">
        <w:rPr>
          <w:rFonts w:eastAsiaTheme="minorEastAsia"/>
          <w:sz w:val="24"/>
        </w:rPr>
        <w:t>1.</w:t>
      </w:r>
      <w:r w:rsidRPr="008A2A89">
        <w:rPr>
          <w:rFonts w:eastAsiaTheme="minorEastAsia" w:hint="eastAsia"/>
          <w:sz w:val="24"/>
        </w:rPr>
        <w:t xml:space="preserve"> </w:t>
      </w:r>
      <w:proofErr w:type="spellStart"/>
      <w:r w:rsidRPr="008A2A89">
        <w:rPr>
          <w:kern w:val="0"/>
          <w:sz w:val="24"/>
        </w:rPr>
        <w:t>hUC</w:t>
      </w:r>
      <w:proofErr w:type="spellEnd"/>
      <w:r w:rsidRPr="008A2A89">
        <w:rPr>
          <w:kern w:val="0"/>
          <w:sz w:val="24"/>
        </w:rPr>
        <w:t>-MSCs</w:t>
      </w:r>
      <w:r w:rsidRPr="008A2A89">
        <w:rPr>
          <w:kern w:val="0"/>
          <w:sz w:val="24"/>
        </w:rPr>
        <w:t>高表达</w:t>
      </w:r>
      <w:r w:rsidRPr="008A2A89">
        <w:rPr>
          <w:kern w:val="0"/>
          <w:sz w:val="24"/>
        </w:rPr>
        <w:t>CD90</w:t>
      </w:r>
      <w:r w:rsidRPr="008A2A89">
        <w:rPr>
          <w:kern w:val="0"/>
          <w:sz w:val="24"/>
        </w:rPr>
        <w:t>、</w:t>
      </w:r>
      <w:r w:rsidRPr="008A2A89">
        <w:rPr>
          <w:kern w:val="0"/>
          <w:sz w:val="24"/>
        </w:rPr>
        <w:t>CD73</w:t>
      </w:r>
      <w:r w:rsidRPr="008A2A89">
        <w:rPr>
          <w:kern w:val="0"/>
          <w:sz w:val="24"/>
        </w:rPr>
        <w:t>、</w:t>
      </w:r>
      <w:r w:rsidRPr="008A2A89">
        <w:rPr>
          <w:kern w:val="0"/>
          <w:sz w:val="24"/>
        </w:rPr>
        <w:t>HLA-DR</w:t>
      </w:r>
      <w:r w:rsidRPr="008A2A89">
        <w:rPr>
          <w:kern w:val="0"/>
          <w:sz w:val="24"/>
        </w:rPr>
        <w:t>，不表达</w:t>
      </w:r>
      <w:r w:rsidRPr="008A2A89">
        <w:rPr>
          <w:kern w:val="0"/>
          <w:sz w:val="24"/>
        </w:rPr>
        <w:t>CD34</w:t>
      </w:r>
      <w:r w:rsidRPr="008A2A89">
        <w:rPr>
          <w:kern w:val="0"/>
          <w:sz w:val="24"/>
        </w:rPr>
        <w:t>、</w:t>
      </w:r>
      <w:r w:rsidRPr="008A2A89">
        <w:rPr>
          <w:kern w:val="0"/>
          <w:sz w:val="24"/>
        </w:rPr>
        <w:t>CD45</w:t>
      </w:r>
      <w:r w:rsidRPr="008A2A89">
        <w:rPr>
          <w:rFonts w:eastAsiaTheme="minorEastAsia"/>
          <w:sz w:val="24"/>
        </w:rPr>
        <w:t>；</w:t>
      </w:r>
      <w:r w:rsidRPr="008A2A89">
        <w:rPr>
          <w:rFonts w:eastAsiaTheme="minorEastAsia" w:hint="eastAsia"/>
          <w:sz w:val="24"/>
        </w:rPr>
        <w:t>可以向</w:t>
      </w:r>
      <w:r w:rsidRPr="008A2A89">
        <w:rPr>
          <w:rFonts w:eastAsiaTheme="minorEastAsia"/>
          <w:sz w:val="24"/>
        </w:rPr>
        <w:t>成脂、成骨、成软骨分化</w:t>
      </w:r>
      <w:r w:rsidRPr="008A2A89">
        <w:rPr>
          <w:rFonts w:eastAsiaTheme="minorEastAsia" w:hint="eastAsia"/>
          <w:sz w:val="24"/>
        </w:rPr>
        <w:t>。</w:t>
      </w:r>
    </w:p>
    <w:p w:rsidR="004A26ED" w:rsidRPr="008A2A89" w:rsidRDefault="004A26ED" w:rsidP="00F67416">
      <w:pPr>
        <w:spacing w:line="360" w:lineRule="auto"/>
        <w:ind w:firstLineChars="200" w:firstLine="480"/>
        <w:rPr>
          <w:rFonts w:eastAsiaTheme="minorEastAsia"/>
          <w:sz w:val="24"/>
        </w:rPr>
      </w:pPr>
      <w:r w:rsidRPr="008A2A89">
        <w:rPr>
          <w:rFonts w:eastAsiaTheme="minorEastAsia"/>
          <w:sz w:val="24"/>
        </w:rPr>
        <w:t>2</w:t>
      </w:r>
      <w:r w:rsidRPr="008A2A89">
        <w:rPr>
          <w:rFonts w:eastAsiaTheme="minorEastAsia" w:hint="eastAsia"/>
          <w:sz w:val="24"/>
        </w:rPr>
        <w:t xml:space="preserve">. </w:t>
      </w:r>
      <w:proofErr w:type="spellStart"/>
      <w:r w:rsidRPr="008A2A89">
        <w:rPr>
          <w:rFonts w:eastAsiaTheme="minorEastAsia" w:hint="eastAsia"/>
          <w:sz w:val="24"/>
        </w:rPr>
        <w:t>hUC</w:t>
      </w:r>
      <w:proofErr w:type="spellEnd"/>
      <w:r w:rsidRPr="008A2A89">
        <w:rPr>
          <w:rFonts w:eastAsiaTheme="minorEastAsia" w:hint="eastAsia"/>
          <w:sz w:val="24"/>
        </w:rPr>
        <w:t xml:space="preserve">-MSCs </w:t>
      </w:r>
      <w:r w:rsidRPr="008A2A89">
        <w:rPr>
          <w:rFonts w:eastAsiaTheme="minorEastAsia" w:hint="eastAsia"/>
          <w:sz w:val="24"/>
        </w:rPr>
        <w:t>可以成功定植于损伤脑组织局部，在不同治疗后</w:t>
      </w:r>
      <w:r w:rsidRPr="008A2A89">
        <w:rPr>
          <w:rFonts w:eastAsiaTheme="minorEastAsia" w:hint="eastAsia"/>
          <w:sz w:val="24"/>
        </w:rPr>
        <w:t>24</w:t>
      </w:r>
      <w:r w:rsidRPr="008A2A89">
        <w:rPr>
          <w:rFonts w:eastAsiaTheme="minorEastAsia" w:hint="eastAsia"/>
          <w:sz w:val="24"/>
        </w:rPr>
        <w:t>小时后</w:t>
      </w:r>
      <w:proofErr w:type="spellStart"/>
      <w:r w:rsidRPr="008A2A89">
        <w:rPr>
          <w:rFonts w:eastAsiaTheme="minorEastAsia" w:hint="eastAsia"/>
          <w:sz w:val="24"/>
        </w:rPr>
        <w:t>hMSCs</w:t>
      </w:r>
      <w:proofErr w:type="spellEnd"/>
      <w:r w:rsidRPr="008A2A89">
        <w:rPr>
          <w:rFonts w:eastAsiaTheme="minorEastAsia" w:hint="eastAsia"/>
          <w:sz w:val="24"/>
        </w:rPr>
        <w:t>达到脑组织的量。而且</w:t>
      </w:r>
      <w:r w:rsidRPr="008A2A89">
        <w:rPr>
          <w:rFonts w:eastAsiaTheme="minorEastAsia" w:hint="eastAsia"/>
          <w:sz w:val="24"/>
        </w:rPr>
        <w:t xml:space="preserve"> MSC+NIMO</w:t>
      </w:r>
      <w:r w:rsidRPr="008A2A89">
        <w:rPr>
          <w:rFonts w:eastAsiaTheme="minorEastAsia" w:hint="eastAsia"/>
          <w:sz w:val="24"/>
        </w:rPr>
        <w:t>组β</w:t>
      </w:r>
      <w:r w:rsidRPr="008A2A89">
        <w:rPr>
          <w:rFonts w:eastAsiaTheme="minorEastAsia" w:hint="eastAsia"/>
          <w:sz w:val="24"/>
        </w:rPr>
        <w:t>-globin</w:t>
      </w:r>
      <w:r w:rsidRPr="008A2A89">
        <w:rPr>
          <w:rFonts w:eastAsiaTheme="minorEastAsia" w:hint="eastAsia"/>
          <w:sz w:val="24"/>
        </w:rPr>
        <w:t>的表达量明显高于</w:t>
      </w:r>
      <w:r w:rsidRPr="008A2A89">
        <w:rPr>
          <w:rFonts w:eastAsiaTheme="minorEastAsia" w:hint="eastAsia"/>
          <w:sz w:val="24"/>
        </w:rPr>
        <w:t xml:space="preserve"> MSCs </w:t>
      </w:r>
      <w:r w:rsidRPr="008A2A89">
        <w:rPr>
          <w:rFonts w:eastAsiaTheme="minorEastAsia" w:hint="eastAsia"/>
          <w:sz w:val="24"/>
        </w:rPr>
        <w:t>组（</w:t>
      </w:r>
      <w:r w:rsidRPr="008A2A89">
        <w:rPr>
          <w:rFonts w:eastAsiaTheme="minorEastAsia" w:hint="eastAsia"/>
          <w:sz w:val="24"/>
        </w:rPr>
        <w:t>p&lt;0.01</w:t>
      </w:r>
      <w:r w:rsidRPr="008A2A89">
        <w:rPr>
          <w:rFonts w:eastAsiaTheme="minorEastAsia" w:hint="eastAsia"/>
          <w:sz w:val="24"/>
        </w:rPr>
        <w:t>），证明</w:t>
      </w:r>
      <w:proofErr w:type="spellStart"/>
      <w:r w:rsidRPr="008A2A89">
        <w:rPr>
          <w:rFonts w:eastAsiaTheme="minorEastAsia" w:hint="eastAsia"/>
          <w:sz w:val="24"/>
        </w:rPr>
        <w:t>hUC</w:t>
      </w:r>
      <w:proofErr w:type="spellEnd"/>
      <w:r w:rsidRPr="008A2A89">
        <w:rPr>
          <w:rFonts w:eastAsiaTheme="minorEastAsia" w:hint="eastAsia"/>
          <w:sz w:val="24"/>
        </w:rPr>
        <w:t>-MSCs</w:t>
      </w:r>
      <w:r w:rsidRPr="008A2A89">
        <w:rPr>
          <w:rFonts w:eastAsiaTheme="minorEastAsia" w:hint="eastAsia"/>
          <w:sz w:val="24"/>
        </w:rPr>
        <w:t>联合尼莫地平可以促进</w:t>
      </w:r>
      <w:r w:rsidRPr="008A2A89">
        <w:rPr>
          <w:rFonts w:eastAsiaTheme="minorEastAsia" w:hint="eastAsia"/>
          <w:sz w:val="24"/>
        </w:rPr>
        <w:t>MSCs</w:t>
      </w:r>
      <w:r w:rsidRPr="008A2A89">
        <w:rPr>
          <w:rFonts w:eastAsiaTheme="minorEastAsia" w:hint="eastAsia"/>
          <w:sz w:val="24"/>
        </w:rPr>
        <w:t>在小鼠脑组织的定植。</w:t>
      </w:r>
    </w:p>
    <w:p w:rsidR="004A26ED" w:rsidRPr="008A2A89" w:rsidRDefault="004A26ED" w:rsidP="00F67416">
      <w:pPr>
        <w:spacing w:line="360" w:lineRule="auto"/>
        <w:ind w:firstLineChars="200" w:firstLine="480"/>
        <w:rPr>
          <w:rFonts w:eastAsiaTheme="minorEastAsia"/>
          <w:sz w:val="24"/>
        </w:rPr>
      </w:pPr>
      <w:r w:rsidRPr="008A2A89">
        <w:rPr>
          <w:rFonts w:eastAsiaTheme="minorEastAsia" w:hint="eastAsia"/>
          <w:sz w:val="24"/>
        </w:rPr>
        <w:t>3.</w:t>
      </w:r>
      <w:r w:rsidR="00DA05DB" w:rsidRPr="008A2A89">
        <w:rPr>
          <w:rFonts w:eastAsiaTheme="minorEastAsia" w:hint="eastAsia"/>
          <w:sz w:val="24"/>
        </w:rPr>
        <w:t xml:space="preserve"> </w:t>
      </w:r>
      <w:r w:rsidRPr="008A2A89">
        <w:rPr>
          <w:rFonts w:eastAsiaTheme="minorEastAsia" w:hint="eastAsia"/>
          <w:sz w:val="24"/>
        </w:rPr>
        <w:t>在全脑照射后</w:t>
      </w:r>
      <w:r w:rsidRPr="008A2A89">
        <w:rPr>
          <w:rFonts w:eastAsiaTheme="minorEastAsia" w:hint="eastAsia"/>
          <w:sz w:val="24"/>
        </w:rPr>
        <w:t>12</w:t>
      </w:r>
      <w:r w:rsidRPr="008A2A89">
        <w:rPr>
          <w:rFonts w:eastAsiaTheme="minorEastAsia" w:hint="eastAsia"/>
          <w:sz w:val="24"/>
        </w:rPr>
        <w:t>周，与正常组相比，</w:t>
      </w:r>
      <w:r w:rsidRPr="008A2A89">
        <w:rPr>
          <w:rFonts w:eastAsiaTheme="minorEastAsia" w:hint="eastAsia"/>
          <w:sz w:val="24"/>
        </w:rPr>
        <w:t>WBI</w:t>
      </w:r>
      <w:r w:rsidRPr="008A2A89">
        <w:rPr>
          <w:rFonts w:eastAsiaTheme="minorEastAsia" w:hint="eastAsia"/>
          <w:sz w:val="24"/>
        </w:rPr>
        <w:t>组和</w:t>
      </w:r>
      <w:r w:rsidRPr="008A2A89">
        <w:rPr>
          <w:rFonts w:eastAsiaTheme="minorEastAsia" w:hint="eastAsia"/>
          <w:sz w:val="24"/>
        </w:rPr>
        <w:t>NIMO</w:t>
      </w:r>
      <w:r w:rsidRPr="008A2A89">
        <w:rPr>
          <w:rFonts w:eastAsiaTheme="minorEastAsia" w:hint="eastAsia"/>
          <w:sz w:val="24"/>
        </w:rPr>
        <w:t>组，小鼠的平均体重均降低；但与</w:t>
      </w:r>
      <w:r w:rsidRPr="008A2A89">
        <w:rPr>
          <w:rFonts w:eastAsiaTheme="minorEastAsia" w:hint="eastAsia"/>
          <w:sz w:val="24"/>
        </w:rPr>
        <w:t>WBI</w:t>
      </w:r>
      <w:r w:rsidRPr="008A2A89">
        <w:rPr>
          <w:rFonts w:eastAsiaTheme="minorEastAsia" w:hint="eastAsia"/>
          <w:sz w:val="24"/>
        </w:rPr>
        <w:t>组和</w:t>
      </w:r>
      <w:r w:rsidRPr="008A2A89">
        <w:rPr>
          <w:rFonts w:eastAsiaTheme="minorEastAsia" w:hint="eastAsia"/>
          <w:sz w:val="24"/>
        </w:rPr>
        <w:t>NIMO</w:t>
      </w:r>
      <w:r w:rsidRPr="008A2A89">
        <w:rPr>
          <w:rFonts w:eastAsiaTheme="minorEastAsia" w:hint="eastAsia"/>
          <w:sz w:val="24"/>
        </w:rPr>
        <w:t>组相比，</w:t>
      </w:r>
      <w:r w:rsidRPr="008A2A89">
        <w:rPr>
          <w:rFonts w:eastAsiaTheme="minorEastAsia" w:hint="eastAsia"/>
          <w:sz w:val="24"/>
        </w:rPr>
        <w:t>MSC</w:t>
      </w:r>
      <w:r w:rsidRPr="008A2A89">
        <w:rPr>
          <w:rFonts w:eastAsiaTheme="minorEastAsia" w:hint="eastAsia"/>
          <w:sz w:val="24"/>
        </w:rPr>
        <w:t>组和</w:t>
      </w:r>
      <w:r w:rsidRPr="008A2A89">
        <w:rPr>
          <w:rFonts w:eastAsiaTheme="minorEastAsia" w:hint="eastAsia"/>
          <w:sz w:val="24"/>
        </w:rPr>
        <w:t>MSC+NIMO</w:t>
      </w:r>
      <w:r w:rsidRPr="008A2A89">
        <w:rPr>
          <w:rFonts w:eastAsiaTheme="minorEastAsia" w:hint="eastAsia"/>
          <w:sz w:val="24"/>
        </w:rPr>
        <w:t>组的小鼠平均体重均有显著增加（</w:t>
      </w:r>
      <w:r w:rsidRPr="008A2A89">
        <w:rPr>
          <w:rFonts w:eastAsiaTheme="minorEastAsia" w:hint="eastAsia"/>
          <w:sz w:val="24"/>
        </w:rPr>
        <w:t>p</w:t>
      </w:r>
      <w:r w:rsidRPr="008A2A89">
        <w:rPr>
          <w:rFonts w:eastAsiaTheme="minorEastAsia" w:hint="eastAsia"/>
          <w:sz w:val="24"/>
        </w:rPr>
        <w:t>＜</w:t>
      </w:r>
      <w:r w:rsidRPr="008A2A89">
        <w:rPr>
          <w:rFonts w:eastAsiaTheme="minorEastAsia" w:hint="eastAsia"/>
          <w:sz w:val="24"/>
        </w:rPr>
        <w:t>0.05</w:t>
      </w:r>
      <w:r w:rsidRPr="008A2A89">
        <w:rPr>
          <w:rFonts w:eastAsiaTheme="minorEastAsia" w:hint="eastAsia"/>
          <w:sz w:val="24"/>
        </w:rPr>
        <w:t>），尤其在</w:t>
      </w:r>
      <w:r w:rsidRPr="008A2A89">
        <w:rPr>
          <w:rFonts w:eastAsiaTheme="minorEastAsia" w:hint="eastAsia"/>
          <w:sz w:val="24"/>
        </w:rPr>
        <w:t>MSC+NIMO</w:t>
      </w:r>
      <w:r w:rsidRPr="008A2A89">
        <w:rPr>
          <w:rFonts w:eastAsiaTheme="minorEastAsia" w:hint="eastAsia"/>
          <w:sz w:val="24"/>
        </w:rPr>
        <w:t>组的小鼠平均体重增加更明显（</w:t>
      </w:r>
      <w:r w:rsidRPr="008A2A89">
        <w:rPr>
          <w:rFonts w:eastAsiaTheme="minorEastAsia" w:hint="eastAsia"/>
          <w:sz w:val="24"/>
        </w:rPr>
        <w:t>p</w:t>
      </w:r>
      <w:r w:rsidRPr="008A2A89">
        <w:rPr>
          <w:rFonts w:eastAsiaTheme="minorEastAsia" w:hint="eastAsia"/>
          <w:sz w:val="24"/>
        </w:rPr>
        <w:t>＜</w:t>
      </w:r>
      <w:r w:rsidRPr="008A2A89">
        <w:rPr>
          <w:rFonts w:eastAsiaTheme="minorEastAsia" w:hint="eastAsia"/>
          <w:sz w:val="24"/>
        </w:rPr>
        <w:t>0.05</w:t>
      </w:r>
      <w:r w:rsidRPr="008A2A89">
        <w:rPr>
          <w:rFonts w:eastAsiaTheme="minorEastAsia" w:hint="eastAsia"/>
          <w:sz w:val="24"/>
        </w:rPr>
        <w:t>）。</w:t>
      </w:r>
    </w:p>
    <w:p w:rsidR="004A26ED" w:rsidRPr="008A2A89" w:rsidRDefault="004A26ED" w:rsidP="00F67416">
      <w:pPr>
        <w:spacing w:line="360" w:lineRule="auto"/>
        <w:ind w:firstLineChars="200" w:firstLine="480"/>
        <w:rPr>
          <w:kern w:val="0"/>
          <w:sz w:val="24"/>
        </w:rPr>
      </w:pPr>
      <w:r w:rsidRPr="008A2A89">
        <w:rPr>
          <w:rFonts w:eastAsiaTheme="minorEastAsia" w:hint="eastAsia"/>
          <w:sz w:val="24"/>
        </w:rPr>
        <w:t xml:space="preserve">4. </w:t>
      </w:r>
      <w:r w:rsidRPr="008A2A89">
        <w:rPr>
          <w:kern w:val="0"/>
          <w:sz w:val="24"/>
        </w:rPr>
        <w:t>在全脑照射后</w:t>
      </w:r>
      <w:r w:rsidRPr="008A2A89">
        <w:rPr>
          <w:kern w:val="0"/>
          <w:sz w:val="24"/>
        </w:rPr>
        <w:t>4</w:t>
      </w:r>
      <w:r w:rsidRPr="008A2A89">
        <w:rPr>
          <w:kern w:val="0"/>
          <w:sz w:val="24"/>
        </w:rPr>
        <w:t>周，五组不同治疗组之间，总的距离，总的穿越格子数没有统计学差异；但是，在全脑照射后</w:t>
      </w:r>
      <w:r w:rsidRPr="008A2A89">
        <w:rPr>
          <w:kern w:val="0"/>
          <w:sz w:val="24"/>
        </w:rPr>
        <w:t>12</w:t>
      </w:r>
      <w:r w:rsidRPr="008A2A89">
        <w:rPr>
          <w:kern w:val="0"/>
          <w:sz w:val="24"/>
        </w:rPr>
        <w:t>周，与</w:t>
      </w:r>
      <w:r w:rsidRPr="008A2A89">
        <w:rPr>
          <w:kern w:val="0"/>
          <w:sz w:val="24"/>
        </w:rPr>
        <w:t>WBI</w:t>
      </w:r>
      <w:r w:rsidRPr="008A2A89">
        <w:rPr>
          <w:kern w:val="0"/>
          <w:sz w:val="24"/>
        </w:rPr>
        <w:t>组相比，</w:t>
      </w:r>
      <w:r w:rsidRPr="008A2A89">
        <w:rPr>
          <w:kern w:val="0"/>
          <w:sz w:val="24"/>
        </w:rPr>
        <w:t>MSC</w:t>
      </w:r>
      <w:r w:rsidRPr="008A2A89">
        <w:rPr>
          <w:kern w:val="0"/>
          <w:sz w:val="24"/>
        </w:rPr>
        <w:t>组和</w:t>
      </w:r>
      <w:r w:rsidRPr="008A2A89">
        <w:rPr>
          <w:kern w:val="0"/>
          <w:sz w:val="24"/>
        </w:rPr>
        <w:t>MSC+NIMO</w:t>
      </w:r>
      <w:r w:rsidRPr="008A2A89">
        <w:rPr>
          <w:kern w:val="0"/>
          <w:sz w:val="24"/>
        </w:rPr>
        <w:t>组的小鼠在旷场实验中总的距离，总的穿越格子数有明显的增加，且其差异有明显的统计学差异（</w:t>
      </w:r>
      <w:r w:rsidRPr="008A2A89">
        <w:rPr>
          <w:kern w:val="0"/>
          <w:sz w:val="24"/>
        </w:rPr>
        <w:t>p</w:t>
      </w:r>
      <w:r w:rsidRPr="008A2A89">
        <w:rPr>
          <w:kern w:val="0"/>
          <w:sz w:val="24"/>
        </w:rPr>
        <w:t>＜</w:t>
      </w:r>
      <w:r w:rsidRPr="008A2A89">
        <w:rPr>
          <w:kern w:val="0"/>
          <w:sz w:val="24"/>
        </w:rPr>
        <w:t>0.05</w:t>
      </w:r>
      <w:r w:rsidRPr="008A2A89">
        <w:rPr>
          <w:kern w:val="0"/>
          <w:sz w:val="24"/>
        </w:rPr>
        <w:t>）。在全脑照射后</w:t>
      </w:r>
      <w:r w:rsidRPr="008A2A89">
        <w:rPr>
          <w:kern w:val="0"/>
          <w:sz w:val="24"/>
        </w:rPr>
        <w:t>4</w:t>
      </w:r>
      <w:r w:rsidRPr="008A2A89">
        <w:rPr>
          <w:kern w:val="0"/>
          <w:sz w:val="24"/>
        </w:rPr>
        <w:t>周和</w:t>
      </w:r>
      <w:r w:rsidRPr="008A2A89">
        <w:rPr>
          <w:kern w:val="0"/>
          <w:sz w:val="24"/>
        </w:rPr>
        <w:t>12</w:t>
      </w:r>
      <w:r w:rsidRPr="008A2A89">
        <w:rPr>
          <w:kern w:val="0"/>
          <w:sz w:val="24"/>
        </w:rPr>
        <w:t>周，与正常</w:t>
      </w:r>
      <w:r w:rsidRPr="008A2A89">
        <w:rPr>
          <w:kern w:val="0"/>
          <w:sz w:val="24"/>
        </w:rPr>
        <w:lastRenderedPageBreak/>
        <w:t>对照组相比，</w:t>
      </w:r>
      <w:r w:rsidRPr="008A2A89">
        <w:rPr>
          <w:kern w:val="0"/>
          <w:sz w:val="24"/>
        </w:rPr>
        <w:t>WBI</w:t>
      </w:r>
      <w:r w:rsidRPr="008A2A89">
        <w:rPr>
          <w:kern w:val="0"/>
          <w:sz w:val="24"/>
        </w:rPr>
        <w:t>组和</w:t>
      </w:r>
      <w:r w:rsidRPr="008A2A89">
        <w:rPr>
          <w:kern w:val="0"/>
          <w:sz w:val="24"/>
        </w:rPr>
        <w:t>NIMO</w:t>
      </w:r>
      <w:r w:rsidRPr="008A2A89">
        <w:rPr>
          <w:kern w:val="0"/>
          <w:sz w:val="24"/>
        </w:rPr>
        <w:t>组的小鼠在中心区域所持续的时间和在中心区域行进的距离明显缩短（</w:t>
      </w:r>
      <w:r w:rsidRPr="008A2A89">
        <w:rPr>
          <w:kern w:val="0"/>
          <w:sz w:val="24"/>
        </w:rPr>
        <w:t>p</w:t>
      </w:r>
      <w:r w:rsidRPr="008A2A89">
        <w:rPr>
          <w:kern w:val="0"/>
          <w:sz w:val="24"/>
        </w:rPr>
        <w:t>＜</w:t>
      </w:r>
      <w:r w:rsidRPr="008A2A89">
        <w:rPr>
          <w:kern w:val="0"/>
          <w:sz w:val="24"/>
        </w:rPr>
        <w:t>0.05</w:t>
      </w:r>
      <w:r w:rsidRPr="008A2A89">
        <w:rPr>
          <w:kern w:val="0"/>
          <w:sz w:val="24"/>
        </w:rPr>
        <w:t>）；与</w:t>
      </w:r>
      <w:r w:rsidRPr="008A2A89">
        <w:rPr>
          <w:kern w:val="0"/>
          <w:sz w:val="24"/>
        </w:rPr>
        <w:t>WBI</w:t>
      </w:r>
      <w:r w:rsidRPr="008A2A89">
        <w:rPr>
          <w:kern w:val="0"/>
          <w:sz w:val="24"/>
        </w:rPr>
        <w:t>组相比，</w:t>
      </w:r>
      <w:r w:rsidRPr="008A2A89">
        <w:rPr>
          <w:kern w:val="0"/>
          <w:sz w:val="24"/>
        </w:rPr>
        <w:t>MSC</w:t>
      </w:r>
      <w:r w:rsidRPr="008A2A89">
        <w:rPr>
          <w:kern w:val="0"/>
          <w:sz w:val="24"/>
        </w:rPr>
        <w:t>组和</w:t>
      </w:r>
      <w:r w:rsidRPr="008A2A89">
        <w:rPr>
          <w:kern w:val="0"/>
          <w:sz w:val="24"/>
        </w:rPr>
        <w:t>MSC+NIMO</w:t>
      </w:r>
      <w:r w:rsidRPr="008A2A89">
        <w:rPr>
          <w:kern w:val="0"/>
          <w:sz w:val="24"/>
        </w:rPr>
        <w:t>组的小鼠在中心区域所持续的时间和在中心区域行进的距离明显延长（</w:t>
      </w:r>
      <w:r w:rsidRPr="008A2A89">
        <w:rPr>
          <w:kern w:val="0"/>
          <w:sz w:val="24"/>
        </w:rPr>
        <w:t>p</w:t>
      </w:r>
      <w:r w:rsidRPr="008A2A89">
        <w:rPr>
          <w:kern w:val="0"/>
          <w:sz w:val="24"/>
        </w:rPr>
        <w:t>＜</w:t>
      </w:r>
      <w:r w:rsidRPr="008A2A89">
        <w:rPr>
          <w:kern w:val="0"/>
          <w:sz w:val="24"/>
        </w:rPr>
        <w:t>0.05</w:t>
      </w:r>
      <w:r w:rsidRPr="008A2A89">
        <w:rPr>
          <w:kern w:val="0"/>
          <w:sz w:val="24"/>
        </w:rPr>
        <w:t>）；在全脑照射后</w:t>
      </w:r>
      <w:r w:rsidRPr="008A2A89">
        <w:rPr>
          <w:kern w:val="0"/>
          <w:sz w:val="24"/>
        </w:rPr>
        <w:t>12</w:t>
      </w:r>
      <w:r w:rsidRPr="008A2A89">
        <w:rPr>
          <w:kern w:val="0"/>
          <w:sz w:val="24"/>
        </w:rPr>
        <w:t>周，与</w:t>
      </w:r>
      <w:r w:rsidRPr="008A2A89">
        <w:rPr>
          <w:kern w:val="0"/>
          <w:sz w:val="24"/>
        </w:rPr>
        <w:t>MSC</w:t>
      </w:r>
      <w:r w:rsidRPr="008A2A89">
        <w:rPr>
          <w:kern w:val="0"/>
          <w:sz w:val="24"/>
        </w:rPr>
        <w:t>组相比，</w:t>
      </w:r>
      <w:r w:rsidRPr="008A2A89">
        <w:rPr>
          <w:kern w:val="0"/>
          <w:sz w:val="24"/>
        </w:rPr>
        <w:t>MSC+NIMO</w:t>
      </w:r>
      <w:r w:rsidRPr="008A2A89">
        <w:rPr>
          <w:kern w:val="0"/>
          <w:sz w:val="24"/>
        </w:rPr>
        <w:t>组的小鼠在中心区域所持续的时间和在中心区域行进的距离显著延长（</w:t>
      </w:r>
      <w:r w:rsidRPr="008A2A89">
        <w:rPr>
          <w:kern w:val="0"/>
          <w:sz w:val="24"/>
        </w:rPr>
        <w:t>p</w:t>
      </w:r>
      <w:r w:rsidRPr="008A2A89">
        <w:rPr>
          <w:kern w:val="0"/>
          <w:sz w:val="24"/>
        </w:rPr>
        <w:t>＜</w:t>
      </w:r>
      <w:r w:rsidRPr="008A2A89">
        <w:rPr>
          <w:kern w:val="0"/>
          <w:sz w:val="24"/>
        </w:rPr>
        <w:t>0.05</w:t>
      </w:r>
      <w:r w:rsidRPr="008A2A89">
        <w:rPr>
          <w:kern w:val="0"/>
          <w:sz w:val="24"/>
        </w:rPr>
        <w:t>）。</w:t>
      </w:r>
    </w:p>
    <w:p w:rsidR="004A26ED" w:rsidRPr="008A2A89" w:rsidRDefault="004A26ED" w:rsidP="00F67416">
      <w:pPr>
        <w:spacing w:line="360" w:lineRule="auto"/>
        <w:ind w:firstLineChars="200" w:firstLine="480"/>
        <w:rPr>
          <w:sz w:val="24"/>
        </w:rPr>
      </w:pPr>
      <w:r w:rsidRPr="008A2A89">
        <w:rPr>
          <w:rFonts w:eastAsiaTheme="minorEastAsia" w:hint="eastAsia"/>
          <w:sz w:val="24"/>
        </w:rPr>
        <w:t>5</w:t>
      </w:r>
      <w:r w:rsidRPr="008A2A89">
        <w:rPr>
          <w:rFonts w:eastAsiaTheme="minorEastAsia"/>
          <w:sz w:val="24"/>
        </w:rPr>
        <w:t>.</w:t>
      </w:r>
      <w:r w:rsidRPr="008A2A89">
        <w:rPr>
          <w:rFonts w:eastAsiaTheme="minorEastAsia" w:hint="eastAsia"/>
          <w:sz w:val="24"/>
        </w:rPr>
        <w:t xml:space="preserve"> </w:t>
      </w:r>
      <w:r w:rsidRPr="008A2A89">
        <w:rPr>
          <w:kern w:val="0"/>
          <w:sz w:val="24"/>
        </w:rPr>
        <w:t>在全脑照射后</w:t>
      </w:r>
      <w:r w:rsidRPr="008A2A89">
        <w:rPr>
          <w:kern w:val="0"/>
          <w:sz w:val="24"/>
        </w:rPr>
        <w:t>4</w:t>
      </w:r>
      <w:r w:rsidRPr="008A2A89">
        <w:rPr>
          <w:kern w:val="0"/>
          <w:sz w:val="24"/>
        </w:rPr>
        <w:t>周和</w:t>
      </w:r>
      <w:r w:rsidRPr="008A2A89">
        <w:rPr>
          <w:kern w:val="0"/>
          <w:sz w:val="24"/>
        </w:rPr>
        <w:t>12</w:t>
      </w:r>
      <w:r w:rsidRPr="008A2A89">
        <w:rPr>
          <w:kern w:val="0"/>
          <w:sz w:val="24"/>
        </w:rPr>
        <w:t>周，与正常对照组相比，</w:t>
      </w:r>
      <w:r w:rsidRPr="008A2A89">
        <w:rPr>
          <w:kern w:val="0"/>
          <w:sz w:val="24"/>
        </w:rPr>
        <w:t>WBI</w:t>
      </w:r>
      <w:r w:rsidRPr="008A2A89">
        <w:rPr>
          <w:kern w:val="0"/>
          <w:sz w:val="24"/>
        </w:rPr>
        <w:t>组和</w:t>
      </w:r>
      <w:r w:rsidRPr="008A2A89">
        <w:rPr>
          <w:kern w:val="0"/>
          <w:sz w:val="24"/>
        </w:rPr>
        <w:t>NIMO</w:t>
      </w:r>
      <w:r w:rsidRPr="008A2A89">
        <w:rPr>
          <w:kern w:val="0"/>
          <w:sz w:val="24"/>
        </w:rPr>
        <w:t>组的小鼠学习潜伏期（跳上所需时间）明显延长（</w:t>
      </w:r>
      <w:r w:rsidRPr="008A2A89">
        <w:rPr>
          <w:kern w:val="0"/>
          <w:sz w:val="24"/>
        </w:rPr>
        <w:t>p</w:t>
      </w:r>
      <w:r w:rsidRPr="008A2A89">
        <w:rPr>
          <w:kern w:val="0"/>
          <w:sz w:val="24"/>
        </w:rPr>
        <w:t>＜</w:t>
      </w:r>
      <w:r w:rsidRPr="008A2A89">
        <w:rPr>
          <w:kern w:val="0"/>
          <w:sz w:val="24"/>
        </w:rPr>
        <w:t>0.05</w:t>
      </w:r>
      <w:r w:rsidRPr="008A2A89">
        <w:rPr>
          <w:kern w:val="0"/>
          <w:sz w:val="24"/>
        </w:rPr>
        <w:t>），记忆潜伏期（跳下所需时间）明显缩短（</w:t>
      </w:r>
      <w:r w:rsidRPr="008A2A89">
        <w:rPr>
          <w:kern w:val="0"/>
          <w:sz w:val="24"/>
        </w:rPr>
        <w:t>p</w:t>
      </w:r>
      <w:r w:rsidRPr="008A2A89">
        <w:rPr>
          <w:kern w:val="0"/>
          <w:sz w:val="24"/>
        </w:rPr>
        <w:t>＜</w:t>
      </w:r>
      <w:r w:rsidRPr="008A2A89">
        <w:rPr>
          <w:kern w:val="0"/>
          <w:sz w:val="24"/>
        </w:rPr>
        <w:t>0.05</w:t>
      </w:r>
      <w:r w:rsidRPr="008A2A89">
        <w:rPr>
          <w:kern w:val="0"/>
          <w:sz w:val="24"/>
        </w:rPr>
        <w:t>），</w:t>
      </w:r>
      <w:r w:rsidRPr="008A2A89">
        <w:rPr>
          <w:kern w:val="0"/>
          <w:sz w:val="24"/>
        </w:rPr>
        <w:t>5</w:t>
      </w:r>
      <w:r w:rsidRPr="008A2A89">
        <w:rPr>
          <w:kern w:val="0"/>
          <w:sz w:val="24"/>
        </w:rPr>
        <w:t>分钟内错误次数明显增多（</w:t>
      </w:r>
      <w:r w:rsidRPr="008A2A89">
        <w:rPr>
          <w:kern w:val="0"/>
          <w:sz w:val="24"/>
        </w:rPr>
        <w:t>p</w:t>
      </w:r>
      <w:r w:rsidRPr="008A2A89">
        <w:rPr>
          <w:kern w:val="0"/>
          <w:sz w:val="24"/>
        </w:rPr>
        <w:t>＜</w:t>
      </w:r>
      <w:r w:rsidRPr="008A2A89">
        <w:rPr>
          <w:kern w:val="0"/>
          <w:sz w:val="24"/>
        </w:rPr>
        <w:t>0.05</w:t>
      </w:r>
      <w:r w:rsidRPr="008A2A89">
        <w:rPr>
          <w:kern w:val="0"/>
          <w:sz w:val="24"/>
        </w:rPr>
        <w:t>）；在全脑照射后</w:t>
      </w:r>
      <w:r w:rsidRPr="008A2A89">
        <w:rPr>
          <w:kern w:val="0"/>
          <w:sz w:val="24"/>
        </w:rPr>
        <w:t>4</w:t>
      </w:r>
      <w:r w:rsidRPr="008A2A89">
        <w:rPr>
          <w:kern w:val="0"/>
          <w:sz w:val="24"/>
        </w:rPr>
        <w:t>周，与</w:t>
      </w:r>
      <w:r w:rsidRPr="008A2A89">
        <w:rPr>
          <w:kern w:val="0"/>
          <w:sz w:val="24"/>
        </w:rPr>
        <w:t>WBI</w:t>
      </w:r>
      <w:r w:rsidRPr="008A2A89">
        <w:rPr>
          <w:kern w:val="0"/>
          <w:sz w:val="24"/>
        </w:rPr>
        <w:t>组相比，</w:t>
      </w:r>
      <w:r w:rsidRPr="008A2A89">
        <w:rPr>
          <w:kern w:val="0"/>
          <w:sz w:val="24"/>
        </w:rPr>
        <w:t>MSC</w:t>
      </w:r>
      <w:r w:rsidRPr="008A2A89">
        <w:rPr>
          <w:kern w:val="0"/>
          <w:sz w:val="24"/>
        </w:rPr>
        <w:t>组和</w:t>
      </w:r>
      <w:r w:rsidRPr="008A2A89">
        <w:rPr>
          <w:kern w:val="0"/>
          <w:sz w:val="24"/>
        </w:rPr>
        <w:t>MSC+NIMO</w:t>
      </w:r>
      <w:r w:rsidRPr="008A2A89">
        <w:rPr>
          <w:kern w:val="0"/>
          <w:sz w:val="24"/>
        </w:rPr>
        <w:t>组的小鼠学习潜伏期明显缩短（</w:t>
      </w:r>
      <w:r w:rsidRPr="008A2A89">
        <w:rPr>
          <w:kern w:val="0"/>
          <w:sz w:val="24"/>
        </w:rPr>
        <w:t>p</w:t>
      </w:r>
      <w:r w:rsidRPr="008A2A89">
        <w:rPr>
          <w:kern w:val="0"/>
          <w:sz w:val="24"/>
        </w:rPr>
        <w:t>＜</w:t>
      </w:r>
      <w:r w:rsidRPr="008A2A89">
        <w:rPr>
          <w:kern w:val="0"/>
          <w:sz w:val="24"/>
        </w:rPr>
        <w:t>0.05</w:t>
      </w:r>
      <w:r w:rsidRPr="008A2A89">
        <w:rPr>
          <w:kern w:val="0"/>
          <w:sz w:val="24"/>
        </w:rPr>
        <w:t>），记忆潜伏期明显延长（</w:t>
      </w:r>
      <w:r w:rsidRPr="008A2A89">
        <w:rPr>
          <w:kern w:val="0"/>
          <w:sz w:val="24"/>
        </w:rPr>
        <w:t>p</w:t>
      </w:r>
      <w:r w:rsidRPr="008A2A89">
        <w:rPr>
          <w:kern w:val="0"/>
          <w:sz w:val="24"/>
        </w:rPr>
        <w:t>＜</w:t>
      </w:r>
      <w:r w:rsidRPr="008A2A89">
        <w:rPr>
          <w:kern w:val="0"/>
          <w:sz w:val="24"/>
        </w:rPr>
        <w:t>0.05</w:t>
      </w:r>
      <w:r w:rsidRPr="008A2A89">
        <w:rPr>
          <w:kern w:val="0"/>
          <w:sz w:val="24"/>
        </w:rPr>
        <w:t>），</w:t>
      </w:r>
      <w:r w:rsidRPr="008A2A89">
        <w:rPr>
          <w:kern w:val="0"/>
          <w:sz w:val="24"/>
        </w:rPr>
        <w:t>5</w:t>
      </w:r>
      <w:r w:rsidRPr="008A2A89">
        <w:rPr>
          <w:kern w:val="0"/>
          <w:sz w:val="24"/>
        </w:rPr>
        <w:t>分钟内错误次数明显减少（</w:t>
      </w:r>
      <w:r w:rsidRPr="008A2A89">
        <w:rPr>
          <w:kern w:val="0"/>
          <w:sz w:val="24"/>
        </w:rPr>
        <w:t>p</w:t>
      </w:r>
      <w:r w:rsidRPr="008A2A89">
        <w:rPr>
          <w:kern w:val="0"/>
          <w:sz w:val="24"/>
        </w:rPr>
        <w:t>＜</w:t>
      </w:r>
      <w:r w:rsidRPr="008A2A89">
        <w:rPr>
          <w:kern w:val="0"/>
          <w:sz w:val="24"/>
        </w:rPr>
        <w:t>0.05</w:t>
      </w:r>
      <w:r w:rsidRPr="008A2A89">
        <w:rPr>
          <w:kern w:val="0"/>
          <w:sz w:val="24"/>
        </w:rPr>
        <w:t>）；</w:t>
      </w:r>
      <w:r w:rsidRPr="008A2A89">
        <w:rPr>
          <w:kern w:val="0"/>
          <w:sz w:val="24"/>
        </w:rPr>
        <w:t>MSC</w:t>
      </w:r>
      <w:r w:rsidRPr="008A2A89">
        <w:rPr>
          <w:kern w:val="0"/>
          <w:sz w:val="24"/>
        </w:rPr>
        <w:t>组和</w:t>
      </w:r>
      <w:r w:rsidRPr="008A2A89">
        <w:rPr>
          <w:kern w:val="0"/>
          <w:sz w:val="24"/>
        </w:rPr>
        <w:t>MSC+NIMO</w:t>
      </w:r>
      <w:r w:rsidRPr="008A2A89">
        <w:rPr>
          <w:kern w:val="0"/>
          <w:sz w:val="24"/>
        </w:rPr>
        <w:t>组小鼠的记录结果没有明显差异。但是在全脑照射后</w:t>
      </w:r>
      <w:r w:rsidRPr="008A2A89">
        <w:rPr>
          <w:kern w:val="0"/>
          <w:sz w:val="24"/>
        </w:rPr>
        <w:t>12</w:t>
      </w:r>
      <w:r w:rsidRPr="008A2A89">
        <w:rPr>
          <w:kern w:val="0"/>
          <w:sz w:val="24"/>
        </w:rPr>
        <w:t>周，与</w:t>
      </w:r>
      <w:r w:rsidRPr="008A2A89">
        <w:rPr>
          <w:kern w:val="0"/>
          <w:sz w:val="24"/>
        </w:rPr>
        <w:t>MSC</w:t>
      </w:r>
      <w:r w:rsidRPr="008A2A89">
        <w:rPr>
          <w:kern w:val="0"/>
          <w:sz w:val="24"/>
        </w:rPr>
        <w:t>组相比，</w:t>
      </w:r>
      <w:r w:rsidRPr="008A2A89">
        <w:rPr>
          <w:kern w:val="0"/>
          <w:sz w:val="24"/>
        </w:rPr>
        <w:t>MSC+NIMO</w:t>
      </w:r>
      <w:r w:rsidRPr="008A2A89">
        <w:rPr>
          <w:kern w:val="0"/>
          <w:sz w:val="24"/>
        </w:rPr>
        <w:t>组的小鼠学习潜伏期明显缩短（</w:t>
      </w:r>
      <w:r w:rsidRPr="008A2A89">
        <w:rPr>
          <w:kern w:val="0"/>
          <w:sz w:val="24"/>
        </w:rPr>
        <w:t>p</w:t>
      </w:r>
      <w:r w:rsidRPr="008A2A89">
        <w:rPr>
          <w:kern w:val="0"/>
          <w:sz w:val="24"/>
        </w:rPr>
        <w:t>＜</w:t>
      </w:r>
      <w:r w:rsidRPr="008A2A89">
        <w:rPr>
          <w:kern w:val="0"/>
          <w:sz w:val="24"/>
        </w:rPr>
        <w:t>0.05</w:t>
      </w:r>
      <w:r w:rsidRPr="008A2A89">
        <w:rPr>
          <w:kern w:val="0"/>
          <w:sz w:val="24"/>
        </w:rPr>
        <w:t>），记忆潜伏期明显延长（</w:t>
      </w:r>
      <w:r w:rsidRPr="008A2A89">
        <w:rPr>
          <w:kern w:val="0"/>
          <w:sz w:val="24"/>
        </w:rPr>
        <w:t>p</w:t>
      </w:r>
      <w:r w:rsidRPr="008A2A89">
        <w:rPr>
          <w:kern w:val="0"/>
          <w:sz w:val="24"/>
        </w:rPr>
        <w:t>＜</w:t>
      </w:r>
      <w:r w:rsidRPr="008A2A89">
        <w:rPr>
          <w:kern w:val="0"/>
          <w:sz w:val="24"/>
        </w:rPr>
        <w:t>0.05</w:t>
      </w:r>
      <w:r w:rsidRPr="008A2A89">
        <w:rPr>
          <w:kern w:val="0"/>
          <w:sz w:val="24"/>
        </w:rPr>
        <w:t>），</w:t>
      </w:r>
      <w:r w:rsidRPr="008A2A89">
        <w:rPr>
          <w:kern w:val="0"/>
          <w:sz w:val="24"/>
        </w:rPr>
        <w:t>5</w:t>
      </w:r>
      <w:r w:rsidRPr="008A2A89">
        <w:rPr>
          <w:kern w:val="0"/>
          <w:sz w:val="24"/>
        </w:rPr>
        <w:t>分钟内错误次数明显减少（</w:t>
      </w:r>
      <w:r w:rsidRPr="008A2A89">
        <w:rPr>
          <w:kern w:val="0"/>
          <w:sz w:val="24"/>
        </w:rPr>
        <w:t>p</w:t>
      </w:r>
      <w:r w:rsidRPr="008A2A89">
        <w:rPr>
          <w:kern w:val="0"/>
          <w:sz w:val="24"/>
        </w:rPr>
        <w:t>＜</w:t>
      </w:r>
      <w:r w:rsidRPr="008A2A89">
        <w:rPr>
          <w:kern w:val="0"/>
          <w:sz w:val="24"/>
        </w:rPr>
        <w:t>0.05</w:t>
      </w:r>
      <w:r w:rsidRPr="008A2A89">
        <w:rPr>
          <w:kern w:val="0"/>
          <w:sz w:val="24"/>
        </w:rPr>
        <w:t>）。</w:t>
      </w:r>
    </w:p>
    <w:p w:rsidR="004A26ED" w:rsidRPr="008A2A89" w:rsidRDefault="004A26ED" w:rsidP="00F67416">
      <w:pPr>
        <w:spacing w:line="360" w:lineRule="auto"/>
        <w:ind w:firstLineChars="200" w:firstLine="480"/>
        <w:rPr>
          <w:kern w:val="0"/>
          <w:sz w:val="24"/>
        </w:rPr>
      </w:pPr>
      <w:r w:rsidRPr="008A2A89">
        <w:rPr>
          <w:rFonts w:eastAsiaTheme="minorEastAsia" w:hint="eastAsia"/>
          <w:sz w:val="24"/>
        </w:rPr>
        <w:t>6</w:t>
      </w:r>
      <w:r w:rsidRPr="008A2A89">
        <w:rPr>
          <w:rFonts w:eastAsiaTheme="minorEastAsia"/>
          <w:sz w:val="24"/>
        </w:rPr>
        <w:t>.</w:t>
      </w:r>
      <w:r w:rsidRPr="008A2A89">
        <w:rPr>
          <w:rFonts w:eastAsiaTheme="minorEastAsia" w:hint="eastAsia"/>
          <w:sz w:val="24"/>
        </w:rPr>
        <w:t xml:space="preserve"> </w:t>
      </w:r>
      <w:r w:rsidRPr="008A2A89">
        <w:rPr>
          <w:kern w:val="0"/>
          <w:sz w:val="24"/>
        </w:rPr>
        <w:t>全脑照射后</w:t>
      </w:r>
      <w:r w:rsidRPr="008A2A89">
        <w:rPr>
          <w:kern w:val="0"/>
          <w:sz w:val="24"/>
        </w:rPr>
        <w:t>12</w:t>
      </w:r>
      <w:r w:rsidRPr="008A2A89">
        <w:rPr>
          <w:kern w:val="0"/>
          <w:sz w:val="24"/>
        </w:rPr>
        <w:t>周，在正常对照组、</w:t>
      </w:r>
      <w:r w:rsidRPr="008A2A89">
        <w:rPr>
          <w:kern w:val="0"/>
          <w:sz w:val="24"/>
        </w:rPr>
        <w:t>MSC</w:t>
      </w:r>
      <w:r w:rsidRPr="008A2A89">
        <w:rPr>
          <w:kern w:val="0"/>
          <w:sz w:val="24"/>
        </w:rPr>
        <w:t>组和</w:t>
      </w:r>
      <w:r w:rsidRPr="008A2A89">
        <w:rPr>
          <w:kern w:val="0"/>
          <w:sz w:val="24"/>
        </w:rPr>
        <w:t>MSC+NIMO</w:t>
      </w:r>
      <w:r w:rsidRPr="008A2A89">
        <w:rPr>
          <w:kern w:val="0"/>
          <w:sz w:val="24"/>
        </w:rPr>
        <w:t>组中，</w:t>
      </w:r>
      <w:r w:rsidRPr="008A2A89">
        <w:rPr>
          <w:kern w:val="0"/>
          <w:sz w:val="24"/>
        </w:rPr>
        <w:t>DG</w:t>
      </w:r>
      <w:r w:rsidRPr="008A2A89">
        <w:rPr>
          <w:kern w:val="0"/>
          <w:sz w:val="24"/>
        </w:rPr>
        <w:t>区和</w:t>
      </w:r>
      <w:r w:rsidRPr="008A2A89">
        <w:rPr>
          <w:kern w:val="0"/>
          <w:sz w:val="24"/>
        </w:rPr>
        <w:t>CA1</w:t>
      </w:r>
      <w:r w:rsidRPr="008A2A89">
        <w:rPr>
          <w:kern w:val="0"/>
          <w:sz w:val="24"/>
        </w:rPr>
        <w:t>区神经元分别是密集而清晰，相反，</w:t>
      </w:r>
      <w:r w:rsidRPr="008A2A89">
        <w:rPr>
          <w:kern w:val="0"/>
          <w:sz w:val="24"/>
        </w:rPr>
        <w:t>WBI</w:t>
      </w:r>
      <w:r w:rsidRPr="008A2A89">
        <w:rPr>
          <w:kern w:val="0"/>
          <w:sz w:val="24"/>
        </w:rPr>
        <w:t>组和</w:t>
      </w:r>
      <w:r w:rsidRPr="008A2A89">
        <w:rPr>
          <w:kern w:val="0"/>
          <w:sz w:val="24"/>
        </w:rPr>
        <w:t>NIMO</w:t>
      </w:r>
      <w:r w:rsidRPr="008A2A89">
        <w:rPr>
          <w:kern w:val="0"/>
          <w:sz w:val="24"/>
        </w:rPr>
        <w:t>组的海马</w:t>
      </w:r>
      <w:r w:rsidRPr="008A2A89">
        <w:rPr>
          <w:kern w:val="0"/>
          <w:sz w:val="24"/>
        </w:rPr>
        <w:t>DG</w:t>
      </w:r>
      <w:r w:rsidRPr="008A2A89">
        <w:rPr>
          <w:kern w:val="0"/>
          <w:sz w:val="24"/>
        </w:rPr>
        <w:t>区和</w:t>
      </w:r>
      <w:r w:rsidRPr="008A2A89">
        <w:rPr>
          <w:kern w:val="0"/>
          <w:sz w:val="24"/>
        </w:rPr>
        <w:t>CA1</w:t>
      </w:r>
      <w:r w:rsidRPr="008A2A89">
        <w:rPr>
          <w:kern w:val="0"/>
          <w:sz w:val="24"/>
        </w:rPr>
        <w:t>区的神经元损伤严重，表现为神经元的核固缩、形态轮廓不规则。我们计数观察，与</w:t>
      </w:r>
      <w:r w:rsidRPr="008A2A89">
        <w:rPr>
          <w:kern w:val="0"/>
          <w:sz w:val="24"/>
        </w:rPr>
        <w:t>WBI</w:t>
      </w:r>
      <w:r w:rsidRPr="008A2A89">
        <w:rPr>
          <w:kern w:val="0"/>
          <w:sz w:val="24"/>
        </w:rPr>
        <w:t>组和</w:t>
      </w:r>
      <w:r w:rsidRPr="008A2A89">
        <w:rPr>
          <w:kern w:val="0"/>
          <w:sz w:val="24"/>
        </w:rPr>
        <w:t>NIMO</w:t>
      </w:r>
      <w:r w:rsidRPr="008A2A89">
        <w:rPr>
          <w:kern w:val="0"/>
          <w:sz w:val="24"/>
        </w:rPr>
        <w:t>组对比，</w:t>
      </w:r>
      <w:r w:rsidRPr="008A2A89">
        <w:rPr>
          <w:kern w:val="0"/>
          <w:sz w:val="24"/>
        </w:rPr>
        <w:t>MSC</w:t>
      </w:r>
      <w:r w:rsidRPr="008A2A89">
        <w:rPr>
          <w:kern w:val="0"/>
          <w:sz w:val="24"/>
        </w:rPr>
        <w:t>组和</w:t>
      </w:r>
      <w:r w:rsidRPr="008A2A89">
        <w:rPr>
          <w:kern w:val="0"/>
          <w:sz w:val="24"/>
        </w:rPr>
        <w:t>MSC+NIMO</w:t>
      </w:r>
      <w:r w:rsidRPr="008A2A89">
        <w:rPr>
          <w:kern w:val="0"/>
          <w:sz w:val="24"/>
        </w:rPr>
        <w:t>组中，神经元核固缩、凋亡的数量明显降低。</w:t>
      </w:r>
      <w:r w:rsidRPr="008A2A89">
        <w:rPr>
          <w:kern w:val="0"/>
          <w:sz w:val="24"/>
        </w:rPr>
        <w:t>MSC+NIMO</w:t>
      </w:r>
      <w:r w:rsidRPr="008A2A89">
        <w:rPr>
          <w:kern w:val="0"/>
          <w:sz w:val="24"/>
        </w:rPr>
        <w:t>组的神经元存活数更多，尤其</w:t>
      </w:r>
      <w:r w:rsidRPr="008A2A89">
        <w:rPr>
          <w:kern w:val="0"/>
          <w:sz w:val="24"/>
        </w:rPr>
        <w:t>CA1</w:t>
      </w:r>
      <w:r w:rsidRPr="008A2A89">
        <w:rPr>
          <w:kern w:val="0"/>
          <w:sz w:val="24"/>
        </w:rPr>
        <w:t>区（</w:t>
      </w:r>
      <w:r w:rsidRPr="008A2A89">
        <w:rPr>
          <w:kern w:val="0"/>
          <w:sz w:val="24"/>
        </w:rPr>
        <w:t>p</w:t>
      </w:r>
      <w:r w:rsidRPr="008A2A89">
        <w:rPr>
          <w:kern w:val="0"/>
          <w:sz w:val="24"/>
        </w:rPr>
        <w:t>＜</w:t>
      </w:r>
      <w:r w:rsidRPr="008A2A89">
        <w:rPr>
          <w:kern w:val="0"/>
          <w:sz w:val="24"/>
        </w:rPr>
        <w:t>0.05</w:t>
      </w:r>
      <w:r w:rsidRPr="008A2A89">
        <w:rPr>
          <w:kern w:val="0"/>
          <w:sz w:val="24"/>
        </w:rPr>
        <w:t>）；而</w:t>
      </w:r>
      <w:r w:rsidRPr="008A2A89">
        <w:rPr>
          <w:kern w:val="0"/>
          <w:sz w:val="24"/>
        </w:rPr>
        <w:t>WBI</w:t>
      </w:r>
      <w:r w:rsidRPr="008A2A89">
        <w:rPr>
          <w:kern w:val="0"/>
          <w:sz w:val="24"/>
        </w:rPr>
        <w:t>组和</w:t>
      </w:r>
      <w:r w:rsidRPr="008A2A89">
        <w:rPr>
          <w:kern w:val="0"/>
          <w:sz w:val="24"/>
        </w:rPr>
        <w:t>NIMO</w:t>
      </w:r>
      <w:r w:rsidRPr="008A2A89">
        <w:rPr>
          <w:kern w:val="0"/>
          <w:sz w:val="24"/>
        </w:rPr>
        <w:t>组的</w:t>
      </w:r>
      <w:r w:rsidRPr="008A2A89">
        <w:rPr>
          <w:kern w:val="0"/>
          <w:sz w:val="24"/>
        </w:rPr>
        <w:t>DG</w:t>
      </w:r>
      <w:r w:rsidRPr="008A2A89">
        <w:rPr>
          <w:kern w:val="0"/>
          <w:sz w:val="24"/>
        </w:rPr>
        <w:t>区和</w:t>
      </w:r>
      <w:r w:rsidRPr="008A2A89">
        <w:rPr>
          <w:kern w:val="0"/>
          <w:sz w:val="24"/>
        </w:rPr>
        <w:t>CA1</w:t>
      </w:r>
      <w:r w:rsidRPr="008A2A89">
        <w:rPr>
          <w:kern w:val="0"/>
          <w:sz w:val="24"/>
        </w:rPr>
        <w:t>区神经元存活数无明显差异。</w:t>
      </w:r>
    </w:p>
    <w:p w:rsidR="004A26ED" w:rsidRPr="008A2A89" w:rsidRDefault="004A26ED" w:rsidP="00F67416">
      <w:pPr>
        <w:spacing w:line="360" w:lineRule="auto"/>
        <w:ind w:firstLineChars="200" w:firstLine="480"/>
        <w:rPr>
          <w:rFonts w:eastAsiaTheme="minorEastAsia"/>
          <w:sz w:val="24"/>
        </w:rPr>
      </w:pPr>
      <w:r w:rsidRPr="008A2A89">
        <w:rPr>
          <w:rFonts w:eastAsiaTheme="minorEastAsia" w:hint="eastAsia"/>
          <w:sz w:val="24"/>
        </w:rPr>
        <w:t>7</w:t>
      </w:r>
      <w:r w:rsidRPr="008A2A89">
        <w:rPr>
          <w:rFonts w:eastAsiaTheme="minorEastAsia"/>
          <w:sz w:val="24"/>
        </w:rPr>
        <w:t>.</w:t>
      </w:r>
      <w:r w:rsidRPr="008A2A89">
        <w:rPr>
          <w:rFonts w:eastAsiaTheme="minorEastAsia" w:hint="eastAsia"/>
          <w:sz w:val="24"/>
        </w:rPr>
        <w:t xml:space="preserve"> </w:t>
      </w:r>
      <w:r w:rsidRPr="008A2A89">
        <w:rPr>
          <w:kern w:val="0"/>
          <w:sz w:val="24"/>
        </w:rPr>
        <w:t>在全脑照射后</w:t>
      </w:r>
      <w:r w:rsidRPr="008A2A89">
        <w:rPr>
          <w:kern w:val="0"/>
          <w:sz w:val="24"/>
        </w:rPr>
        <w:t>12</w:t>
      </w:r>
      <w:r w:rsidRPr="008A2A89">
        <w:rPr>
          <w:kern w:val="0"/>
          <w:sz w:val="24"/>
        </w:rPr>
        <w:t>周，与正常对照组、</w:t>
      </w:r>
      <w:r w:rsidRPr="008A2A89">
        <w:rPr>
          <w:kern w:val="0"/>
          <w:sz w:val="24"/>
        </w:rPr>
        <w:t>MSC</w:t>
      </w:r>
      <w:r w:rsidRPr="008A2A89">
        <w:rPr>
          <w:kern w:val="0"/>
          <w:sz w:val="24"/>
        </w:rPr>
        <w:t>组和</w:t>
      </w:r>
      <w:r w:rsidRPr="008A2A89">
        <w:rPr>
          <w:kern w:val="0"/>
          <w:sz w:val="24"/>
        </w:rPr>
        <w:t>MSC+NIMO</w:t>
      </w:r>
      <w:r w:rsidRPr="008A2A89">
        <w:rPr>
          <w:kern w:val="0"/>
          <w:sz w:val="24"/>
        </w:rPr>
        <w:t>组相比，</w:t>
      </w:r>
      <w:r w:rsidRPr="008A2A89">
        <w:rPr>
          <w:kern w:val="0"/>
          <w:sz w:val="24"/>
        </w:rPr>
        <w:t>WBI</w:t>
      </w:r>
      <w:r w:rsidRPr="008A2A89">
        <w:rPr>
          <w:kern w:val="0"/>
          <w:sz w:val="24"/>
        </w:rPr>
        <w:t>组和</w:t>
      </w:r>
      <w:r w:rsidRPr="008A2A89">
        <w:rPr>
          <w:kern w:val="0"/>
          <w:sz w:val="24"/>
        </w:rPr>
        <w:t>NIMO</w:t>
      </w:r>
      <w:r w:rsidRPr="008A2A89">
        <w:rPr>
          <w:kern w:val="0"/>
          <w:sz w:val="24"/>
        </w:rPr>
        <w:t>组的</w:t>
      </w:r>
      <w:r w:rsidRPr="008A2A89">
        <w:rPr>
          <w:kern w:val="0"/>
          <w:sz w:val="24"/>
        </w:rPr>
        <w:t>GFAP+</w:t>
      </w:r>
      <w:r w:rsidRPr="008A2A89">
        <w:rPr>
          <w:kern w:val="0"/>
          <w:sz w:val="24"/>
        </w:rPr>
        <w:t>细胞数明显减少（</w:t>
      </w:r>
      <w:r w:rsidRPr="008A2A89">
        <w:rPr>
          <w:kern w:val="0"/>
          <w:sz w:val="24"/>
        </w:rPr>
        <w:t>p</w:t>
      </w:r>
      <w:r w:rsidRPr="008A2A89">
        <w:rPr>
          <w:kern w:val="0"/>
          <w:sz w:val="24"/>
        </w:rPr>
        <w:t>＜</w:t>
      </w:r>
      <w:r w:rsidRPr="008A2A89">
        <w:rPr>
          <w:kern w:val="0"/>
          <w:sz w:val="24"/>
        </w:rPr>
        <w:t>0.05</w:t>
      </w:r>
      <w:r w:rsidRPr="008A2A89">
        <w:rPr>
          <w:kern w:val="0"/>
          <w:sz w:val="24"/>
        </w:rPr>
        <w:t>），而</w:t>
      </w:r>
      <w:r w:rsidRPr="008A2A89">
        <w:rPr>
          <w:kern w:val="0"/>
          <w:sz w:val="24"/>
        </w:rPr>
        <w:t>MSC</w:t>
      </w:r>
      <w:r w:rsidRPr="008A2A89">
        <w:rPr>
          <w:kern w:val="0"/>
          <w:sz w:val="24"/>
        </w:rPr>
        <w:t>组和</w:t>
      </w:r>
      <w:r w:rsidRPr="008A2A89">
        <w:rPr>
          <w:kern w:val="0"/>
          <w:sz w:val="24"/>
        </w:rPr>
        <w:t>MSC+NIMO</w:t>
      </w:r>
      <w:r w:rsidRPr="008A2A89">
        <w:rPr>
          <w:kern w:val="0"/>
          <w:sz w:val="24"/>
        </w:rPr>
        <w:t>组的</w:t>
      </w:r>
      <w:r w:rsidRPr="008A2A89">
        <w:rPr>
          <w:kern w:val="0"/>
          <w:sz w:val="24"/>
        </w:rPr>
        <w:t>GFAP+</w:t>
      </w:r>
      <w:r w:rsidRPr="008A2A89">
        <w:rPr>
          <w:kern w:val="0"/>
          <w:sz w:val="24"/>
        </w:rPr>
        <w:t>细胞数明显增多（</w:t>
      </w:r>
      <w:r w:rsidRPr="008A2A89">
        <w:rPr>
          <w:kern w:val="0"/>
          <w:sz w:val="24"/>
        </w:rPr>
        <w:t>p</w:t>
      </w:r>
      <w:r w:rsidRPr="008A2A89">
        <w:rPr>
          <w:kern w:val="0"/>
          <w:sz w:val="24"/>
        </w:rPr>
        <w:t>＜</w:t>
      </w:r>
      <w:r w:rsidRPr="008A2A89">
        <w:rPr>
          <w:kern w:val="0"/>
          <w:sz w:val="24"/>
        </w:rPr>
        <w:t>0.05</w:t>
      </w:r>
      <w:r w:rsidRPr="008A2A89">
        <w:rPr>
          <w:kern w:val="0"/>
          <w:sz w:val="24"/>
        </w:rPr>
        <w:t>）；同时发现，</w:t>
      </w:r>
      <w:r w:rsidRPr="008A2A89">
        <w:rPr>
          <w:kern w:val="0"/>
          <w:sz w:val="24"/>
        </w:rPr>
        <w:t>MSC+NIMO</w:t>
      </w:r>
      <w:r w:rsidRPr="008A2A89">
        <w:rPr>
          <w:kern w:val="0"/>
          <w:sz w:val="24"/>
        </w:rPr>
        <w:t>组的</w:t>
      </w:r>
      <w:r w:rsidRPr="008A2A89">
        <w:rPr>
          <w:kern w:val="0"/>
          <w:sz w:val="24"/>
        </w:rPr>
        <w:t>GFAP+</w:t>
      </w:r>
      <w:r w:rsidRPr="008A2A89">
        <w:rPr>
          <w:kern w:val="0"/>
          <w:sz w:val="24"/>
        </w:rPr>
        <w:t>细胞数和</w:t>
      </w:r>
      <w:r w:rsidRPr="008A2A89">
        <w:rPr>
          <w:kern w:val="0"/>
          <w:sz w:val="24"/>
        </w:rPr>
        <w:t>GFAP</w:t>
      </w:r>
      <w:r w:rsidRPr="008A2A89">
        <w:rPr>
          <w:kern w:val="0"/>
          <w:sz w:val="24"/>
        </w:rPr>
        <w:t>的</w:t>
      </w:r>
      <w:r w:rsidRPr="008A2A89">
        <w:rPr>
          <w:kern w:val="0"/>
          <w:sz w:val="24"/>
        </w:rPr>
        <w:t>mRNA</w:t>
      </w:r>
      <w:r w:rsidRPr="008A2A89">
        <w:rPr>
          <w:kern w:val="0"/>
          <w:sz w:val="24"/>
        </w:rPr>
        <w:t>水平的表达量均高于</w:t>
      </w:r>
      <w:r w:rsidRPr="008A2A89">
        <w:rPr>
          <w:kern w:val="0"/>
          <w:sz w:val="24"/>
        </w:rPr>
        <w:t>MSC</w:t>
      </w:r>
      <w:r w:rsidRPr="008A2A89">
        <w:rPr>
          <w:kern w:val="0"/>
          <w:sz w:val="24"/>
        </w:rPr>
        <w:t>组。</w:t>
      </w:r>
    </w:p>
    <w:p w:rsidR="004A26ED" w:rsidRPr="008A2A89" w:rsidRDefault="004A26ED" w:rsidP="00F67416">
      <w:pPr>
        <w:spacing w:line="360" w:lineRule="auto"/>
        <w:ind w:firstLineChars="200" w:firstLine="480"/>
        <w:rPr>
          <w:rFonts w:eastAsiaTheme="minorEastAsia"/>
          <w:sz w:val="24"/>
        </w:rPr>
      </w:pPr>
      <w:r w:rsidRPr="008A2A89">
        <w:rPr>
          <w:rFonts w:eastAsiaTheme="minorEastAsia" w:hint="eastAsia"/>
          <w:sz w:val="24"/>
        </w:rPr>
        <w:t>8</w:t>
      </w:r>
      <w:r w:rsidRPr="008A2A89">
        <w:rPr>
          <w:rFonts w:eastAsiaTheme="minorEastAsia"/>
          <w:sz w:val="24"/>
        </w:rPr>
        <w:t>.</w:t>
      </w:r>
      <w:r w:rsidRPr="008A2A89">
        <w:rPr>
          <w:rFonts w:eastAsiaTheme="minorEastAsia" w:hint="eastAsia"/>
          <w:sz w:val="24"/>
        </w:rPr>
        <w:t xml:space="preserve"> </w:t>
      </w:r>
      <w:r w:rsidRPr="008A2A89">
        <w:rPr>
          <w:kern w:val="0"/>
          <w:sz w:val="24"/>
        </w:rPr>
        <w:t>在全脑照射后</w:t>
      </w:r>
      <w:r w:rsidRPr="008A2A89">
        <w:rPr>
          <w:kern w:val="0"/>
          <w:sz w:val="24"/>
        </w:rPr>
        <w:t>12</w:t>
      </w:r>
      <w:r w:rsidRPr="008A2A89">
        <w:rPr>
          <w:kern w:val="0"/>
          <w:sz w:val="24"/>
        </w:rPr>
        <w:t>周，与正常组相比，</w:t>
      </w:r>
      <w:r w:rsidRPr="008A2A89">
        <w:rPr>
          <w:kern w:val="0"/>
          <w:sz w:val="24"/>
        </w:rPr>
        <w:t>WBI</w:t>
      </w:r>
      <w:r w:rsidRPr="008A2A89">
        <w:rPr>
          <w:kern w:val="0"/>
          <w:sz w:val="24"/>
        </w:rPr>
        <w:t>组和</w:t>
      </w:r>
      <w:r w:rsidRPr="008A2A89">
        <w:rPr>
          <w:kern w:val="0"/>
          <w:sz w:val="24"/>
        </w:rPr>
        <w:t>NIMO</w:t>
      </w:r>
      <w:r w:rsidRPr="008A2A89">
        <w:rPr>
          <w:kern w:val="0"/>
          <w:sz w:val="24"/>
        </w:rPr>
        <w:t>组的</w:t>
      </w:r>
      <w:r w:rsidRPr="008A2A89">
        <w:rPr>
          <w:kern w:val="0"/>
          <w:sz w:val="24"/>
        </w:rPr>
        <w:t>p53</w:t>
      </w:r>
      <w:r w:rsidRPr="008A2A89">
        <w:rPr>
          <w:rFonts w:hint="eastAsia"/>
          <w:kern w:val="0"/>
          <w:sz w:val="24"/>
        </w:rPr>
        <w:t>、</w:t>
      </w:r>
      <w:proofErr w:type="spellStart"/>
      <w:r w:rsidRPr="008A2A89">
        <w:rPr>
          <w:kern w:val="0"/>
          <w:sz w:val="24"/>
        </w:rPr>
        <w:t>Bax</w:t>
      </w:r>
      <w:proofErr w:type="spellEnd"/>
      <w:r w:rsidRPr="008A2A89">
        <w:rPr>
          <w:kern w:val="0"/>
          <w:sz w:val="24"/>
        </w:rPr>
        <w:t>的</w:t>
      </w:r>
      <w:r w:rsidRPr="008A2A89">
        <w:rPr>
          <w:kern w:val="0"/>
          <w:sz w:val="24"/>
        </w:rPr>
        <w:t>mRNA</w:t>
      </w:r>
      <w:r w:rsidRPr="008A2A89">
        <w:rPr>
          <w:kern w:val="0"/>
          <w:sz w:val="24"/>
        </w:rPr>
        <w:t>和蛋白的表达量明显增加（</w:t>
      </w:r>
      <w:r w:rsidRPr="008A2A89">
        <w:rPr>
          <w:kern w:val="0"/>
          <w:sz w:val="24"/>
        </w:rPr>
        <w:t>p</w:t>
      </w:r>
      <w:r w:rsidRPr="008A2A89">
        <w:rPr>
          <w:kern w:val="0"/>
          <w:sz w:val="24"/>
        </w:rPr>
        <w:t>＜</w:t>
      </w:r>
      <w:r w:rsidRPr="008A2A89">
        <w:rPr>
          <w:kern w:val="0"/>
          <w:sz w:val="24"/>
        </w:rPr>
        <w:t>0.05</w:t>
      </w:r>
      <w:r w:rsidRPr="008A2A89">
        <w:rPr>
          <w:kern w:val="0"/>
          <w:sz w:val="24"/>
        </w:rPr>
        <w:t>），而</w:t>
      </w:r>
      <w:r w:rsidRPr="008A2A89">
        <w:rPr>
          <w:kern w:val="0"/>
          <w:sz w:val="24"/>
        </w:rPr>
        <w:t>Bcl-2</w:t>
      </w:r>
      <w:r w:rsidRPr="008A2A89">
        <w:rPr>
          <w:kern w:val="0"/>
          <w:sz w:val="24"/>
        </w:rPr>
        <w:t>的</w:t>
      </w:r>
      <w:r w:rsidRPr="008A2A89">
        <w:rPr>
          <w:kern w:val="0"/>
          <w:sz w:val="24"/>
        </w:rPr>
        <w:t>mRNA</w:t>
      </w:r>
      <w:r w:rsidRPr="008A2A89">
        <w:rPr>
          <w:kern w:val="0"/>
          <w:sz w:val="24"/>
        </w:rPr>
        <w:t>和蛋白的表达量明显降低（</w:t>
      </w:r>
      <w:r w:rsidRPr="008A2A89">
        <w:rPr>
          <w:kern w:val="0"/>
          <w:sz w:val="24"/>
        </w:rPr>
        <w:t>p</w:t>
      </w:r>
      <w:r w:rsidRPr="008A2A89">
        <w:rPr>
          <w:kern w:val="0"/>
          <w:sz w:val="24"/>
        </w:rPr>
        <w:t>＜</w:t>
      </w:r>
      <w:r w:rsidRPr="008A2A89">
        <w:rPr>
          <w:kern w:val="0"/>
          <w:sz w:val="24"/>
        </w:rPr>
        <w:t>0.05</w:t>
      </w:r>
      <w:r w:rsidRPr="008A2A89">
        <w:rPr>
          <w:kern w:val="0"/>
          <w:sz w:val="24"/>
        </w:rPr>
        <w:t>）；然而，与</w:t>
      </w:r>
      <w:r w:rsidRPr="008A2A89">
        <w:rPr>
          <w:kern w:val="0"/>
          <w:sz w:val="24"/>
        </w:rPr>
        <w:t>WBI</w:t>
      </w:r>
      <w:r w:rsidRPr="008A2A89">
        <w:rPr>
          <w:kern w:val="0"/>
          <w:sz w:val="24"/>
        </w:rPr>
        <w:t>组相比，</w:t>
      </w:r>
      <w:r w:rsidRPr="008A2A89">
        <w:rPr>
          <w:kern w:val="0"/>
          <w:sz w:val="24"/>
        </w:rPr>
        <w:t>MSC</w:t>
      </w:r>
      <w:r w:rsidRPr="008A2A89">
        <w:rPr>
          <w:kern w:val="0"/>
          <w:sz w:val="24"/>
        </w:rPr>
        <w:t>组和</w:t>
      </w:r>
      <w:r w:rsidRPr="008A2A89">
        <w:rPr>
          <w:kern w:val="0"/>
          <w:sz w:val="24"/>
        </w:rPr>
        <w:t>MSC+NIMO</w:t>
      </w:r>
      <w:r w:rsidRPr="008A2A89">
        <w:rPr>
          <w:kern w:val="0"/>
          <w:sz w:val="24"/>
        </w:rPr>
        <w:t>组</w:t>
      </w:r>
      <w:r w:rsidRPr="008A2A89">
        <w:rPr>
          <w:kern w:val="0"/>
          <w:sz w:val="24"/>
        </w:rPr>
        <w:t>p53</w:t>
      </w:r>
      <w:r w:rsidRPr="008A2A89">
        <w:rPr>
          <w:rFonts w:hint="eastAsia"/>
          <w:kern w:val="0"/>
          <w:sz w:val="24"/>
        </w:rPr>
        <w:t>、</w:t>
      </w:r>
      <w:proofErr w:type="spellStart"/>
      <w:r w:rsidRPr="008A2A89">
        <w:rPr>
          <w:kern w:val="0"/>
          <w:sz w:val="24"/>
        </w:rPr>
        <w:t>Bax</w:t>
      </w:r>
      <w:proofErr w:type="spellEnd"/>
      <w:r w:rsidRPr="008A2A89">
        <w:rPr>
          <w:kern w:val="0"/>
          <w:sz w:val="24"/>
        </w:rPr>
        <w:t>的</w:t>
      </w:r>
      <w:r w:rsidRPr="008A2A89">
        <w:rPr>
          <w:kern w:val="0"/>
          <w:sz w:val="24"/>
        </w:rPr>
        <w:t>mRNA</w:t>
      </w:r>
      <w:r w:rsidRPr="008A2A89">
        <w:rPr>
          <w:kern w:val="0"/>
          <w:sz w:val="24"/>
        </w:rPr>
        <w:t>和蛋白的表达量明显降低（</w:t>
      </w:r>
      <w:r w:rsidRPr="008A2A89">
        <w:rPr>
          <w:kern w:val="0"/>
          <w:sz w:val="24"/>
        </w:rPr>
        <w:t>p</w:t>
      </w:r>
      <w:r w:rsidRPr="008A2A89">
        <w:rPr>
          <w:kern w:val="0"/>
          <w:sz w:val="24"/>
        </w:rPr>
        <w:t>＜</w:t>
      </w:r>
      <w:r w:rsidRPr="008A2A89">
        <w:rPr>
          <w:kern w:val="0"/>
          <w:sz w:val="24"/>
        </w:rPr>
        <w:t>0.05</w:t>
      </w:r>
      <w:r w:rsidRPr="008A2A89">
        <w:rPr>
          <w:kern w:val="0"/>
          <w:sz w:val="24"/>
        </w:rPr>
        <w:t>），而</w:t>
      </w:r>
      <w:r w:rsidRPr="008A2A89">
        <w:rPr>
          <w:kern w:val="0"/>
          <w:sz w:val="24"/>
        </w:rPr>
        <w:t>Bcl-2</w:t>
      </w:r>
      <w:r w:rsidRPr="008A2A89">
        <w:rPr>
          <w:kern w:val="0"/>
          <w:sz w:val="24"/>
        </w:rPr>
        <w:t>的</w:t>
      </w:r>
      <w:r w:rsidRPr="008A2A89">
        <w:rPr>
          <w:kern w:val="0"/>
          <w:sz w:val="24"/>
        </w:rPr>
        <w:t>mRNA</w:t>
      </w:r>
      <w:r w:rsidRPr="008A2A89">
        <w:rPr>
          <w:kern w:val="0"/>
          <w:sz w:val="24"/>
        </w:rPr>
        <w:t>和蛋白的表达量明显增加（</w:t>
      </w:r>
      <w:r w:rsidRPr="008A2A89">
        <w:rPr>
          <w:kern w:val="0"/>
          <w:sz w:val="24"/>
        </w:rPr>
        <w:t>p</w:t>
      </w:r>
      <w:r w:rsidRPr="008A2A89">
        <w:rPr>
          <w:kern w:val="0"/>
          <w:sz w:val="24"/>
        </w:rPr>
        <w:t>＜</w:t>
      </w:r>
      <w:r w:rsidRPr="008A2A89">
        <w:rPr>
          <w:kern w:val="0"/>
          <w:sz w:val="24"/>
        </w:rPr>
        <w:t>0.05</w:t>
      </w:r>
      <w:r w:rsidRPr="008A2A89">
        <w:rPr>
          <w:kern w:val="0"/>
          <w:sz w:val="24"/>
        </w:rPr>
        <w:t>）。尤其，与</w:t>
      </w:r>
      <w:r w:rsidRPr="008A2A89">
        <w:rPr>
          <w:kern w:val="0"/>
          <w:sz w:val="24"/>
        </w:rPr>
        <w:t>MSC</w:t>
      </w:r>
      <w:r w:rsidRPr="008A2A89">
        <w:rPr>
          <w:kern w:val="0"/>
          <w:sz w:val="24"/>
        </w:rPr>
        <w:t>组相比，</w:t>
      </w:r>
      <w:r w:rsidRPr="008A2A89">
        <w:rPr>
          <w:kern w:val="0"/>
          <w:sz w:val="24"/>
        </w:rPr>
        <w:t>MSC+NIMO</w:t>
      </w:r>
      <w:r w:rsidRPr="008A2A89">
        <w:rPr>
          <w:kern w:val="0"/>
          <w:sz w:val="24"/>
        </w:rPr>
        <w:t>组的凋亡</w:t>
      </w:r>
      <w:r w:rsidRPr="008A2A89">
        <w:rPr>
          <w:kern w:val="0"/>
          <w:sz w:val="24"/>
        </w:rPr>
        <w:lastRenderedPageBreak/>
        <w:t>检测指标更具有统计学差异（</w:t>
      </w:r>
      <w:r w:rsidRPr="008A2A89">
        <w:rPr>
          <w:kern w:val="0"/>
          <w:sz w:val="24"/>
        </w:rPr>
        <w:t>p</w:t>
      </w:r>
      <w:r w:rsidRPr="008A2A89">
        <w:rPr>
          <w:kern w:val="0"/>
          <w:sz w:val="24"/>
        </w:rPr>
        <w:t>＜</w:t>
      </w:r>
      <w:r w:rsidRPr="008A2A89">
        <w:rPr>
          <w:kern w:val="0"/>
          <w:sz w:val="24"/>
        </w:rPr>
        <w:t>0.05</w:t>
      </w:r>
      <w:r w:rsidRPr="008A2A89">
        <w:rPr>
          <w:kern w:val="0"/>
          <w:sz w:val="24"/>
        </w:rPr>
        <w:t>）。</w:t>
      </w:r>
    </w:p>
    <w:p w:rsidR="004A26ED" w:rsidRPr="00F67416" w:rsidRDefault="004A26ED" w:rsidP="00F67416">
      <w:pPr>
        <w:spacing w:line="360" w:lineRule="auto"/>
        <w:ind w:firstLineChars="196" w:firstLine="472"/>
        <w:rPr>
          <w:rFonts w:ascii="黑体" w:eastAsia="黑体" w:hAnsi="黑体"/>
          <w:b/>
          <w:sz w:val="24"/>
        </w:rPr>
      </w:pPr>
      <w:r w:rsidRPr="00F67416">
        <w:rPr>
          <w:rFonts w:ascii="黑体" w:eastAsia="黑体" w:hAnsi="黑体"/>
          <w:b/>
          <w:sz w:val="24"/>
        </w:rPr>
        <w:t>结论</w:t>
      </w:r>
    </w:p>
    <w:p w:rsidR="000F0EE8" w:rsidRPr="008A2A89" w:rsidRDefault="003F27A2" w:rsidP="00F67416">
      <w:pPr>
        <w:spacing w:line="360" w:lineRule="auto"/>
        <w:ind w:firstLineChars="200" w:firstLine="480"/>
        <w:rPr>
          <w:rFonts w:eastAsiaTheme="minorEastAsia"/>
          <w:sz w:val="24"/>
        </w:rPr>
      </w:pPr>
      <w:r w:rsidRPr="008A2A89">
        <w:rPr>
          <w:rFonts w:eastAsiaTheme="minorEastAsia" w:hint="eastAsia"/>
          <w:sz w:val="24"/>
        </w:rPr>
        <w:t>尼莫地平可以通过促进</w:t>
      </w:r>
      <w:r w:rsidRPr="008A2A89">
        <w:rPr>
          <w:rFonts w:eastAsiaTheme="minorEastAsia"/>
          <w:sz w:val="24"/>
        </w:rPr>
        <w:t>MSCs</w:t>
      </w:r>
      <w:r w:rsidRPr="008A2A89">
        <w:rPr>
          <w:rFonts w:eastAsiaTheme="minorEastAsia" w:hint="eastAsia"/>
          <w:sz w:val="24"/>
        </w:rPr>
        <w:t>在小鼠脑组织的定植和抑制脑部细胞的凋亡，从而更有效改善放射性脑损伤导致的小鼠体重变化、行为学异常及病理学变化。</w:t>
      </w:r>
    </w:p>
    <w:p w:rsidR="004A26ED" w:rsidRPr="00F67416" w:rsidRDefault="004A26ED" w:rsidP="00F67416">
      <w:pPr>
        <w:spacing w:line="360" w:lineRule="auto"/>
        <w:ind w:firstLineChars="196" w:firstLine="472"/>
        <w:rPr>
          <w:rFonts w:ascii="黑体" w:eastAsia="黑体" w:hAnsi="黑体"/>
          <w:b/>
          <w:sz w:val="24"/>
        </w:rPr>
      </w:pPr>
      <w:r w:rsidRPr="00F67416">
        <w:rPr>
          <w:rFonts w:ascii="黑体" w:eastAsia="黑体" w:hAnsi="黑体"/>
          <w:b/>
          <w:sz w:val="24"/>
        </w:rPr>
        <w:t>关键词</w:t>
      </w:r>
      <w:r w:rsidR="00F67416">
        <w:rPr>
          <w:rFonts w:ascii="黑体" w:eastAsia="黑体" w:hAnsi="黑体" w:hint="eastAsia"/>
          <w:b/>
          <w:sz w:val="24"/>
        </w:rPr>
        <w:t xml:space="preserve">  </w:t>
      </w:r>
      <w:r w:rsidRPr="008A2A89">
        <w:rPr>
          <w:rFonts w:eastAsiaTheme="minorEastAsia"/>
          <w:sz w:val="24"/>
        </w:rPr>
        <w:t>放射性脑损伤；人源性间充质干细胞；尼莫地平；抗凋亡。</w:t>
      </w:r>
    </w:p>
    <w:p w:rsidR="007300E3" w:rsidRPr="008A2A89" w:rsidRDefault="007300E3">
      <w:pPr>
        <w:rPr>
          <w:sz w:val="24"/>
        </w:rPr>
      </w:pPr>
      <w:bookmarkStart w:id="4" w:name="_GoBack"/>
      <w:bookmarkEnd w:id="4"/>
    </w:p>
    <w:sectPr w:rsidR="007300E3" w:rsidRPr="008A2A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FAB" w:rsidRDefault="000D3FAB" w:rsidP="004A26ED">
      <w:r>
        <w:separator/>
      </w:r>
    </w:p>
  </w:endnote>
  <w:endnote w:type="continuationSeparator" w:id="0">
    <w:p w:rsidR="000D3FAB" w:rsidRDefault="000D3FAB" w:rsidP="004A2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FAB" w:rsidRDefault="000D3FAB" w:rsidP="004A26ED">
      <w:r>
        <w:separator/>
      </w:r>
    </w:p>
  </w:footnote>
  <w:footnote w:type="continuationSeparator" w:id="0">
    <w:p w:rsidR="000D3FAB" w:rsidRDefault="000D3FAB" w:rsidP="004A2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0563F"/>
    <w:multiLevelType w:val="hybridMultilevel"/>
    <w:tmpl w:val="FDBCB91C"/>
    <w:lvl w:ilvl="0" w:tplc="1C7C41DC">
      <w:start w:val="1"/>
      <w:numFmt w:val="bullet"/>
      <w:lvlText w:val=""/>
      <w:lvlJc w:val="left"/>
      <w:pPr>
        <w:tabs>
          <w:tab w:val="num" w:pos="720"/>
        </w:tabs>
        <w:ind w:left="720" w:hanging="360"/>
      </w:pPr>
      <w:rPr>
        <w:rFonts w:ascii="Wingdings" w:hAnsi="Wingdings" w:hint="default"/>
      </w:rPr>
    </w:lvl>
    <w:lvl w:ilvl="1" w:tplc="1B9C778E" w:tentative="1">
      <w:start w:val="1"/>
      <w:numFmt w:val="bullet"/>
      <w:lvlText w:val=""/>
      <w:lvlJc w:val="left"/>
      <w:pPr>
        <w:tabs>
          <w:tab w:val="num" w:pos="1440"/>
        </w:tabs>
        <w:ind w:left="1440" w:hanging="360"/>
      </w:pPr>
      <w:rPr>
        <w:rFonts w:ascii="Wingdings" w:hAnsi="Wingdings" w:hint="default"/>
      </w:rPr>
    </w:lvl>
    <w:lvl w:ilvl="2" w:tplc="F7AC3A6E" w:tentative="1">
      <w:start w:val="1"/>
      <w:numFmt w:val="bullet"/>
      <w:lvlText w:val=""/>
      <w:lvlJc w:val="left"/>
      <w:pPr>
        <w:tabs>
          <w:tab w:val="num" w:pos="2160"/>
        </w:tabs>
        <w:ind w:left="2160" w:hanging="360"/>
      </w:pPr>
      <w:rPr>
        <w:rFonts w:ascii="Wingdings" w:hAnsi="Wingdings" w:hint="default"/>
      </w:rPr>
    </w:lvl>
    <w:lvl w:ilvl="3" w:tplc="F964F966" w:tentative="1">
      <w:start w:val="1"/>
      <w:numFmt w:val="bullet"/>
      <w:lvlText w:val=""/>
      <w:lvlJc w:val="left"/>
      <w:pPr>
        <w:tabs>
          <w:tab w:val="num" w:pos="2880"/>
        </w:tabs>
        <w:ind w:left="2880" w:hanging="360"/>
      </w:pPr>
      <w:rPr>
        <w:rFonts w:ascii="Wingdings" w:hAnsi="Wingdings" w:hint="default"/>
      </w:rPr>
    </w:lvl>
    <w:lvl w:ilvl="4" w:tplc="83FCBF66" w:tentative="1">
      <w:start w:val="1"/>
      <w:numFmt w:val="bullet"/>
      <w:lvlText w:val=""/>
      <w:lvlJc w:val="left"/>
      <w:pPr>
        <w:tabs>
          <w:tab w:val="num" w:pos="3600"/>
        </w:tabs>
        <w:ind w:left="3600" w:hanging="360"/>
      </w:pPr>
      <w:rPr>
        <w:rFonts w:ascii="Wingdings" w:hAnsi="Wingdings" w:hint="default"/>
      </w:rPr>
    </w:lvl>
    <w:lvl w:ilvl="5" w:tplc="5448B926" w:tentative="1">
      <w:start w:val="1"/>
      <w:numFmt w:val="bullet"/>
      <w:lvlText w:val=""/>
      <w:lvlJc w:val="left"/>
      <w:pPr>
        <w:tabs>
          <w:tab w:val="num" w:pos="4320"/>
        </w:tabs>
        <w:ind w:left="4320" w:hanging="360"/>
      </w:pPr>
      <w:rPr>
        <w:rFonts w:ascii="Wingdings" w:hAnsi="Wingdings" w:hint="default"/>
      </w:rPr>
    </w:lvl>
    <w:lvl w:ilvl="6" w:tplc="9FF643E4" w:tentative="1">
      <w:start w:val="1"/>
      <w:numFmt w:val="bullet"/>
      <w:lvlText w:val=""/>
      <w:lvlJc w:val="left"/>
      <w:pPr>
        <w:tabs>
          <w:tab w:val="num" w:pos="5040"/>
        </w:tabs>
        <w:ind w:left="5040" w:hanging="360"/>
      </w:pPr>
      <w:rPr>
        <w:rFonts w:ascii="Wingdings" w:hAnsi="Wingdings" w:hint="default"/>
      </w:rPr>
    </w:lvl>
    <w:lvl w:ilvl="7" w:tplc="0130D1EA" w:tentative="1">
      <w:start w:val="1"/>
      <w:numFmt w:val="bullet"/>
      <w:lvlText w:val=""/>
      <w:lvlJc w:val="left"/>
      <w:pPr>
        <w:tabs>
          <w:tab w:val="num" w:pos="5760"/>
        </w:tabs>
        <w:ind w:left="5760" w:hanging="360"/>
      </w:pPr>
      <w:rPr>
        <w:rFonts w:ascii="Wingdings" w:hAnsi="Wingdings" w:hint="default"/>
      </w:rPr>
    </w:lvl>
    <w:lvl w:ilvl="8" w:tplc="BC92A75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0E3"/>
    <w:rsid w:val="000D3FAB"/>
    <w:rsid w:val="000F0EE8"/>
    <w:rsid w:val="00184E3D"/>
    <w:rsid w:val="003F27A2"/>
    <w:rsid w:val="004A26ED"/>
    <w:rsid w:val="007300E3"/>
    <w:rsid w:val="00802B08"/>
    <w:rsid w:val="008722A9"/>
    <w:rsid w:val="008A2A89"/>
    <w:rsid w:val="00BB3836"/>
    <w:rsid w:val="00DA05DB"/>
    <w:rsid w:val="00DF4954"/>
    <w:rsid w:val="00F67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6ED"/>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4A26E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26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26ED"/>
    <w:rPr>
      <w:sz w:val="18"/>
      <w:szCs w:val="18"/>
    </w:rPr>
  </w:style>
  <w:style w:type="paragraph" w:styleId="a4">
    <w:name w:val="footer"/>
    <w:basedOn w:val="a"/>
    <w:link w:val="Char0"/>
    <w:uiPriority w:val="99"/>
    <w:unhideWhenUsed/>
    <w:rsid w:val="004A26ED"/>
    <w:pPr>
      <w:tabs>
        <w:tab w:val="center" w:pos="4153"/>
        <w:tab w:val="right" w:pos="8306"/>
      </w:tabs>
      <w:snapToGrid w:val="0"/>
      <w:jc w:val="left"/>
    </w:pPr>
    <w:rPr>
      <w:sz w:val="18"/>
      <w:szCs w:val="18"/>
    </w:rPr>
  </w:style>
  <w:style w:type="character" w:customStyle="1" w:styleId="Char0">
    <w:name w:val="页脚 Char"/>
    <w:basedOn w:val="a0"/>
    <w:link w:val="a4"/>
    <w:uiPriority w:val="99"/>
    <w:rsid w:val="004A26ED"/>
    <w:rPr>
      <w:sz w:val="18"/>
      <w:szCs w:val="18"/>
    </w:rPr>
  </w:style>
  <w:style w:type="character" w:customStyle="1" w:styleId="1Char">
    <w:name w:val="标题 1 Char"/>
    <w:basedOn w:val="a0"/>
    <w:link w:val="1"/>
    <w:uiPriority w:val="9"/>
    <w:rsid w:val="004A26ED"/>
    <w:rPr>
      <w:rFonts w:ascii="Times New Roman" w:eastAsia="宋体" w:hAnsi="Times New Roman" w:cs="Times New Roman"/>
      <w:b/>
      <w:bCs/>
      <w:kern w:val="44"/>
      <w:sz w:val="44"/>
      <w:szCs w:val="44"/>
    </w:rPr>
  </w:style>
  <w:style w:type="paragraph" w:customStyle="1" w:styleId="p0">
    <w:name w:val="p0"/>
    <w:basedOn w:val="a"/>
    <w:rsid w:val="008A2A89"/>
    <w:pPr>
      <w:widowControl/>
    </w:pPr>
    <w:rPr>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6ED"/>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4A26E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26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26ED"/>
    <w:rPr>
      <w:sz w:val="18"/>
      <w:szCs w:val="18"/>
    </w:rPr>
  </w:style>
  <w:style w:type="paragraph" w:styleId="a4">
    <w:name w:val="footer"/>
    <w:basedOn w:val="a"/>
    <w:link w:val="Char0"/>
    <w:uiPriority w:val="99"/>
    <w:unhideWhenUsed/>
    <w:rsid w:val="004A26ED"/>
    <w:pPr>
      <w:tabs>
        <w:tab w:val="center" w:pos="4153"/>
        <w:tab w:val="right" w:pos="8306"/>
      </w:tabs>
      <w:snapToGrid w:val="0"/>
      <w:jc w:val="left"/>
    </w:pPr>
    <w:rPr>
      <w:sz w:val="18"/>
      <w:szCs w:val="18"/>
    </w:rPr>
  </w:style>
  <w:style w:type="character" w:customStyle="1" w:styleId="Char0">
    <w:name w:val="页脚 Char"/>
    <w:basedOn w:val="a0"/>
    <w:link w:val="a4"/>
    <w:uiPriority w:val="99"/>
    <w:rsid w:val="004A26ED"/>
    <w:rPr>
      <w:sz w:val="18"/>
      <w:szCs w:val="18"/>
    </w:rPr>
  </w:style>
  <w:style w:type="character" w:customStyle="1" w:styleId="1Char">
    <w:name w:val="标题 1 Char"/>
    <w:basedOn w:val="a0"/>
    <w:link w:val="1"/>
    <w:uiPriority w:val="9"/>
    <w:rsid w:val="004A26ED"/>
    <w:rPr>
      <w:rFonts w:ascii="Times New Roman" w:eastAsia="宋体" w:hAnsi="Times New Roman" w:cs="Times New Roman"/>
      <w:b/>
      <w:bCs/>
      <w:kern w:val="44"/>
      <w:sz w:val="44"/>
      <w:szCs w:val="44"/>
    </w:rPr>
  </w:style>
  <w:style w:type="paragraph" w:customStyle="1" w:styleId="p0">
    <w:name w:val="p0"/>
    <w:basedOn w:val="a"/>
    <w:rsid w:val="008A2A89"/>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028785">
      <w:bodyDiv w:val="1"/>
      <w:marLeft w:val="0"/>
      <w:marRight w:val="0"/>
      <w:marTop w:val="0"/>
      <w:marBottom w:val="0"/>
      <w:divBdr>
        <w:top w:val="none" w:sz="0" w:space="0" w:color="auto"/>
        <w:left w:val="none" w:sz="0" w:space="0" w:color="auto"/>
        <w:bottom w:val="none" w:sz="0" w:space="0" w:color="auto"/>
        <w:right w:val="none" w:sz="0" w:space="0" w:color="auto"/>
      </w:divBdr>
      <w:divsChild>
        <w:div w:id="2096591417">
          <w:marLeft w:val="547"/>
          <w:marRight w:val="0"/>
          <w:marTop w:val="134"/>
          <w:marBottom w:val="0"/>
          <w:divBdr>
            <w:top w:val="none" w:sz="0" w:space="0" w:color="auto"/>
            <w:left w:val="none" w:sz="0" w:space="0" w:color="auto"/>
            <w:bottom w:val="none" w:sz="0" w:space="0" w:color="auto"/>
            <w:right w:val="none" w:sz="0" w:space="0" w:color="auto"/>
          </w:divBdr>
        </w:div>
      </w:divsChild>
    </w:div>
    <w:div w:id="445976414">
      <w:bodyDiv w:val="1"/>
      <w:marLeft w:val="0"/>
      <w:marRight w:val="0"/>
      <w:marTop w:val="0"/>
      <w:marBottom w:val="0"/>
      <w:divBdr>
        <w:top w:val="none" w:sz="0" w:space="0" w:color="auto"/>
        <w:left w:val="none" w:sz="0" w:space="0" w:color="auto"/>
        <w:bottom w:val="none" w:sz="0" w:space="0" w:color="auto"/>
        <w:right w:val="none" w:sz="0" w:space="0" w:color="auto"/>
      </w:divBdr>
      <w:divsChild>
        <w:div w:id="347215661">
          <w:marLeft w:val="547"/>
          <w:marRight w:val="0"/>
          <w:marTop w:val="134"/>
          <w:marBottom w:val="0"/>
          <w:divBdr>
            <w:top w:val="none" w:sz="0" w:space="0" w:color="auto"/>
            <w:left w:val="none" w:sz="0" w:space="0" w:color="auto"/>
            <w:bottom w:val="none" w:sz="0" w:space="0" w:color="auto"/>
            <w:right w:val="none" w:sz="0" w:space="0" w:color="auto"/>
          </w:divBdr>
        </w:div>
      </w:divsChild>
    </w:div>
    <w:div w:id="1016614922">
      <w:bodyDiv w:val="1"/>
      <w:marLeft w:val="0"/>
      <w:marRight w:val="0"/>
      <w:marTop w:val="0"/>
      <w:marBottom w:val="0"/>
      <w:divBdr>
        <w:top w:val="none" w:sz="0" w:space="0" w:color="auto"/>
        <w:left w:val="none" w:sz="0" w:space="0" w:color="auto"/>
        <w:bottom w:val="none" w:sz="0" w:space="0" w:color="auto"/>
        <w:right w:val="none" w:sz="0" w:space="0" w:color="auto"/>
      </w:divBdr>
      <w:divsChild>
        <w:div w:id="178495603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303</Words>
  <Characters>1728</Characters>
  <Application>Microsoft Office Word</Application>
  <DocSecurity>0</DocSecurity>
  <Lines>14</Lines>
  <Paragraphs>4</Paragraphs>
  <ScaleCrop>false</ScaleCrop>
  <Company>China</Company>
  <LinksUpToDate>false</LinksUpToDate>
  <CharactersWithSpaces>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2016-05-06T10:59:00Z</dcterms:created>
  <dcterms:modified xsi:type="dcterms:W3CDTF">2016-05-06T13:49:00Z</dcterms:modified>
</cp:coreProperties>
</file>