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jc w:val="center"/>
        <w:rPr>
          <w:rStyle w:val="6"/>
          <w:rFonts w:hint="eastAsia" w:ascii="宋体" w:hAnsi="宋体" w:cs="宋体"/>
          <w:bCs w:val="0"/>
          <w:sz w:val="32"/>
        </w:rPr>
      </w:pPr>
      <w:r>
        <w:rPr>
          <w:rStyle w:val="6"/>
          <w:rFonts w:hint="eastAsia" w:ascii="宋体" w:hAnsi="宋体" w:cs="宋体"/>
          <w:bCs w:val="0"/>
          <w:sz w:val="32"/>
        </w:rPr>
        <w:t>氨甲环酸减少膝关节置换术术后失血效果观察</w:t>
      </w:r>
    </w:p>
    <w:p>
      <w:pPr>
        <w:rPr>
          <w:rFonts w:asciiTheme="minorHAnsi" w:hAnsiTheme="minorHAnsi" w:eastAsiaTheme="minorEastAsia" w:cstheme="minorBidi"/>
          <w:kern w:val="2"/>
          <w:sz w:val="21"/>
          <w:szCs w:val="24"/>
          <w:lang w:val="en-US" w:eastAsia="zh-CN" w:bidi="ar-SA"/>
        </w:rPr>
      </w:pPr>
    </w:p>
    <w:p>
      <w:pPr>
        <w:ind w:firstLine="482"/>
        <w:rPr>
          <w:rFonts w:hint="eastAsia" w:ascii="宋体" w:hAnsi="宋体" w:cs="宋体"/>
          <w:bCs/>
        </w:rPr>
      </w:pPr>
      <w:r>
        <w:rPr>
          <w:rFonts w:hint="eastAsia" w:cstheme="minorBidi"/>
          <w:kern w:val="2"/>
          <w:sz w:val="21"/>
          <w:szCs w:val="24"/>
          <w:lang w:val="en-US" w:eastAsia="zh-CN" w:bidi="ar-SA"/>
        </w:rPr>
        <w:tab/>
      </w:r>
      <w:r>
        <w:rPr>
          <w:rStyle w:val="4"/>
          <w:rFonts w:hint="eastAsia" w:ascii="宋体" w:hAnsi="宋体" w:cs="宋体"/>
          <w:color w:val="333333"/>
          <w:szCs w:val="21"/>
          <w:lang w:bidi="ar"/>
        </w:rPr>
        <w:t>【摘要】：</w:t>
      </w:r>
      <w:r>
        <w:rPr>
          <w:rFonts w:hint="eastAsia" w:ascii="黑体" w:hAnsi="黑体" w:eastAsia="黑体" w:cs="宋体"/>
          <w:bCs/>
        </w:rPr>
        <w:t xml:space="preserve">目的 </w:t>
      </w:r>
      <w:r>
        <w:rPr>
          <w:rFonts w:hint="eastAsia" w:ascii="宋体" w:hAnsi="宋体" w:cs="宋体"/>
          <w:bCs/>
        </w:rPr>
        <w:t xml:space="preserve">观察氨甲环酸静脉滴注结合局部关节腔注入对减少原发性骨性关节炎全膝关节置换术(TKA)的失血的效果。 </w:t>
      </w:r>
    </w:p>
    <w:p>
      <w:pPr>
        <w:ind w:firstLine="480"/>
        <w:rPr>
          <w:rFonts w:hint="eastAsia" w:ascii="宋体" w:hAnsi="宋体" w:cs="宋体"/>
        </w:rPr>
      </w:pPr>
      <w:r>
        <w:rPr>
          <w:rFonts w:hint="eastAsia" w:ascii="黑体" w:hAnsi="黑体" w:eastAsia="黑体" w:cs="宋体"/>
          <w:bCs/>
        </w:rPr>
        <w:t xml:space="preserve">方法 </w:t>
      </w:r>
      <w:r>
        <w:rPr>
          <w:rFonts w:hint="eastAsia" w:ascii="宋体" w:hAnsi="宋体" w:cs="宋体"/>
        </w:rPr>
        <w:t>选择</w:t>
      </w:r>
      <w:r>
        <w:rPr>
          <w:rFonts w:hint="eastAsia" w:ascii="宋体" w:hAnsi="宋体" w:cs="宋体"/>
          <w:lang w:eastAsia="zh-CN"/>
        </w:rPr>
        <w:t>新</w:t>
      </w:r>
      <w:r>
        <w:rPr>
          <w:rFonts w:hint="eastAsia" w:ascii="宋体" w:hAnsi="宋体" w:cs="宋体"/>
        </w:rPr>
        <w:t>乡医学院第一附属医院骨外一病区2014年3月至2015年3月间行全膝关节置换术（TKA）60例单纯原发性骨性关节炎患者，随机分为观察组和对照组各30例，均在放松止血带前静脉注入氨甲环酸10mg·kg</w:t>
      </w:r>
      <w:r>
        <w:rPr>
          <w:rFonts w:hint="eastAsia" w:ascii="宋体" w:hAnsi="宋体" w:cs="宋体"/>
          <w:vertAlign w:val="superscript"/>
        </w:rPr>
        <w:t>-1</w:t>
      </w:r>
      <w:r>
        <w:rPr>
          <w:rFonts w:hint="eastAsia" w:ascii="宋体" w:hAnsi="宋体" w:cs="宋体"/>
        </w:rPr>
        <w:t xml:space="preserve">； </w:t>
      </w:r>
    </w:p>
    <w:p>
      <w:pPr>
        <w:ind w:firstLine="480"/>
        <w:rPr>
          <w:rFonts w:hint="eastAsia" w:ascii="宋体" w:hAnsi="宋体" w:cs="宋体"/>
        </w:rPr>
      </w:pPr>
      <w:r>
        <w:rPr>
          <w:rFonts w:hint="eastAsia" w:ascii="宋体" w:hAnsi="宋体" w:cs="宋体"/>
        </w:rPr>
        <w:t>实验组在安装假体结束、缝合关节囊后通过引流管注入氨甲环酸溶液50ml（氨甲环酸1g溶于生理盐水）；对照组则注入生理盐水50mL。术毕均夹闭引流管1h。比较两组患者术中出血量及隐性失血量、总失血量、术后总引流量、术后24h血红蛋白水平、输血情况及不良反应发生情况，术后14天下肢深静脉超声检查有无深静脉血栓并对两组进行比</w:t>
      </w:r>
      <w:bookmarkStart w:id="0" w:name="_GoBack"/>
      <w:bookmarkEnd w:id="0"/>
      <w:r>
        <w:rPr>
          <w:rFonts w:hint="eastAsia" w:ascii="宋体" w:hAnsi="宋体" w:cs="宋体"/>
        </w:rPr>
        <w:t xml:space="preserve">较。 </w:t>
      </w:r>
    </w:p>
    <w:p>
      <w:pPr>
        <w:ind w:firstLine="480"/>
        <w:rPr>
          <w:rFonts w:hint="eastAsia" w:ascii="宋体" w:hAnsi="宋体" w:cs="宋体"/>
          <w:color w:val="333333"/>
          <w:kern w:val="0"/>
          <w:lang w:bidi="ar"/>
        </w:rPr>
      </w:pPr>
      <w:r>
        <w:rPr>
          <w:rFonts w:hint="eastAsia" w:ascii="黑体" w:hAnsi="黑体" w:eastAsia="黑体" w:cs="宋体"/>
          <w:bCs/>
        </w:rPr>
        <w:t xml:space="preserve">结果 </w:t>
      </w:r>
      <w:r>
        <w:rPr>
          <w:rFonts w:hint="eastAsia" w:ascii="宋体" w:hAnsi="宋体" w:cs="宋体"/>
        </w:rPr>
        <w:t>术后总引流量为(160.3±87.1)ml(实验组)和（3</w:t>
      </w:r>
      <w:r>
        <w:rPr>
          <w:rFonts w:hint="eastAsia" w:ascii="宋体" w:hAnsi="宋体" w:cs="宋体"/>
          <w:lang w:val="en-US" w:eastAsia="zh-CN"/>
        </w:rPr>
        <w:t>8</w:t>
      </w:r>
      <w:r>
        <w:rPr>
          <w:rFonts w:hint="eastAsia" w:ascii="宋体" w:hAnsi="宋体" w:cs="宋体"/>
        </w:rPr>
        <w:t>8.</w:t>
      </w:r>
      <w:r>
        <w:rPr>
          <w:rFonts w:hint="eastAsia" w:ascii="宋体" w:hAnsi="宋体" w:cs="宋体"/>
          <w:lang w:val="en-US" w:eastAsia="zh-CN"/>
        </w:rPr>
        <w:t>0</w:t>
      </w:r>
      <w:r>
        <w:rPr>
          <w:rFonts w:hint="eastAsia" w:ascii="宋体" w:hAnsi="宋体" w:cs="宋体"/>
        </w:rPr>
        <w:t>±2</w:t>
      </w:r>
      <w:r>
        <w:rPr>
          <w:rFonts w:hint="eastAsia" w:ascii="宋体" w:hAnsi="宋体" w:cs="宋体"/>
          <w:lang w:val="en-US" w:eastAsia="zh-CN"/>
        </w:rPr>
        <w:t>2</w:t>
      </w:r>
      <w:r>
        <w:rPr>
          <w:rFonts w:hint="eastAsia" w:ascii="宋体" w:hAnsi="宋体" w:cs="宋体"/>
        </w:rPr>
        <w:t>4.3)ml(对照组)；术后隐性失血量为(338.1±245.3)ml(实验组)和(534.3±204.5)ml(对照组) ；总失血量为(542.2±186.2)ml(实验组)和(668.4±365.4)ml(对照组)；术后24 h血红蛋白值为(100.90±12.70)g／L(实验组)和(97.43±10.93)g／L(对照组)。观察组术后总引流量等指标均显著低于对照组(P&lt;0.05),而观察组患者术后24h血红蛋白水平显著高于对照组(P&lt;0.01)，两组术中失血量比较,差异不显著(P&gt;0.05)。观察组患者术后无输血，而对照组患者术后输血4例。两组患者围手术期均无切口感染、血栓形成以及肺栓塞等并发症发生</w:t>
      </w:r>
      <w:r>
        <w:rPr>
          <w:rFonts w:hint="eastAsia" w:ascii="宋体" w:hAnsi="宋体" w:cs="宋体"/>
          <w:color w:val="333333"/>
          <w:kern w:val="0"/>
          <w:lang w:bidi="ar"/>
        </w:rPr>
        <w:t xml:space="preserve">。 </w:t>
      </w:r>
    </w:p>
    <w:p>
      <w:pPr>
        <w:ind w:firstLine="480"/>
        <w:rPr>
          <w:rFonts w:hint="eastAsia" w:ascii="宋体" w:hAnsi="宋体" w:cs="宋体"/>
        </w:rPr>
      </w:pPr>
      <w:r>
        <w:rPr>
          <w:rFonts w:hint="eastAsia" w:ascii="黑体" w:hAnsi="黑体" w:eastAsia="黑体" w:cs="宋体"/>
          <w:bCs/>
        </w:rPr>
        <w:t xml:space="preserve">结论 </w:t>
      </w:r>
      <w:r>
        <w:rPr>
          <w:rFonts w:hint="eastAsia" w:ascii="宋体" w:hAnsi="宋体" w:cs="宋体"/>
          <w:bCs/>
        </w:rPr>
        <w:t>对于</w:t>
      </w:r>
      <w:r>
        <w:rPr>
          <w:rFonts w:hint="eastAsia" w:ascii="宋体" w:hAnsi="宋体" w:cs="宋体"/>
        </w:rPr>
        <w:t>单纯原发性膝骨性关节炎患者，在TKA术松止血带前经静脉</w:t>
      </w:r>
      <w:r>
        <w:rPr>
          <w:rFonts w:hint="eastAsia" w:ascii="宋体" w:hAnsi="宋体" w:cs="宋体"/>
          <w:lang w:eastAsia="zh-CN"/>
        </w:rPr>
        <w:t>及</w:t>
      </w:r>
      <w:r>
        <w:rPr>
          <w:rFonts w:hint="eastAsia" w:ascii="宋体" w:hAnsi="宋体" w:cs="宋体"/>
        </w:rPr>
        <w:t xml:space="preserve">关节腔联合注入氨甲环酸可有效减少TKA术后失血量。 </w:t>
      </w:r>
    </w:p>
    <w:p>
      <w:pPr>
        <w:ind w:firstLine="480"/>
        <w:rPr>
          <w:rFonts w:hint="eastAsia" w:ascii="宋体" w:hAnsi="宋体" w:cs="宋体"/>
        </w:rPr>
      </w:pPr>
      <w:r>
        <w:rPr>
          <w:rFonts w:hint="eastAsia" w:ascii="黑体" w:hAnsi="黑体" w:eastAsia="黑体" w:cs="宋体"/>
          <w:bCs/>
        </w:rPr>
        <w:t>关键词：</w:t>
      </w:r>
      <w:r>
        <w:rPr>
          <w:rFonts w:hint="eastAsia" w:ascii="宋体" w:hAnsi="宋体" w:cs="宋体"/>
        </w:rPr>
        <w:t>原发性；骨性关节炎；氨甲环酸；关节腔灌注；全膝关节置换术.</w:t>
      </w:r>
    </w:p>
    <w:p>
      <w:pPr>
        <w:ind w:firstLine="482"/>
        <w:rPr>
          <w:b/>
        </w:rPr>
      </w:pPr>
    </w:p>
    <w:p>
      <w:pPr>
        <w:ind w:firstLine="0" w:firstLineChars="0"/>
        <w:rPr>
          <w:rFonts w:hint="eastAsia" w:eastAsia="黑体"/>
          <w:sz w:val="32"/>
          <w:szCs w:val="32"/>
        </w:rPr>
      </w:pPr>
    </w:p>
    <w:p>
      <w:pPr>
        <w:ind w:firstLine="0" w:firstLineChars="0"/>
        <w:rPr>
          <w:rFonts w:hint="eastAsia" w:eastAsia="黑体"/>
          <w:sz w:val="32"/>
          <w:szCs w:val="32"/>
        </w:rPr>
      </w:pPr>
    </w:p>
    <w:p>
      <w:pPr>
        <w:ind w:firstLine="0" w:firstLineChars="0"/>
        <w:rPr>
          <w:rFonts w:hint="eastAsia" w:eastAsia="黑体"/>
          <w:sz w:val="32"/>
          <w:szCs w:val="32"/>
        </w:rPr>
      </w:pPr>
    </w:p>
    <w:p>
      <w:pPr>
        <w:ind w:firstLine="0" w:firstLineChars="0"/>
        <w:rPr>
          <w:rFonts w:hint="eastAsia" w:eastAsia="黑体"/>
          <w:sz w:val="32"/>
          <w:szCs w:val="32"/>
        </w:rPr>
      </w:pPr>
    </w:p>
    <w:p>
      <w:pPr>
        <w:tabs>
          <w:tab w:val="left" w:pos="1003"/>
        </w:tabs>
        <w:jc w:val="left"/>
        <w:rPr>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0AFF" w:usb1="00007843" w:usb2="00000001" w:usb3="00000000" w:csb0="400001BF" w:csb1="DFF70000"/>
  </w:font>
  <w:font w:name="黑体">
    <w:panose1 w:val="02010609060101010101"/>
    <w:charset w:val="86"/>
    <w:family w:val="auto"/>
    <w:pitch w:val="default"/>
    <w:sig w:usb0="800002BF" w:usb1="38CF7CFA" w:usb2="00000016" w:usb3="00000000" w:csb0="00040001" w:csb1="00000000"/>
  </w:font>
  <w:font w:name="Courier New">
    <w:altName w:val="PMingLiU-ExtB"/>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PMingLiU-ExtB"/>
    <w:panose1 w:val="02040503050406030204"/>
    <w:charset w:val="00"/>
    <w:family w:val="roman"/>
    <w:pitch w:val="default"/>
    <w:sig w:usb0="00000000" w:usb1="00000000" w:usb2="00000000" w:usb3="00000000" w:csb0="0000019F" w:csb1="00000000"/>
  </w:font>
  <w:font w:name="Calibri">
    <w:altName w:val="Segoe UI"/>
    <w:panose1 w:val="020F0502020204030204"/>
    <w:charset w:val="00"/>
    <w:family w:val="swiss"/>
    <w:pitch w:val="default"/>
    <w:sig w:usb0="00000000" w:usb1="00000000" w:usb2="00000001" w:usb3="00000000" w:csb0="0000019F" w:csb1="00000000"/>
  </w:font>
  <w:font w:name="PMingLiU-ExtB">
    <w:panose1 w:val="02020500000000000000"/>
    <w:charset w:val="88"/>
    <w:family w:val="auto"/>
    <w:pitch w:val="default"/>
    <w:sig w:usb0="8000002F" w:usb1="02000008" w:usb2="00000000" w:usb3="00000000" w:csb0="00100001" w:csb1="00000000"/>
  </w:font>
  <w:font w:name="Segoe UI">
    <w:panose1 w:val="020B0502040204020203"/>
    <w:charset w:val="00"/>
    <w:family w:val="auto"/>
    <w:pitch w:val="default"/>
    <w:sig w:usb0="E10022FF" w:usb1="C000E47F" w:usb2="00000029" w:usb3="00000000" w:csb0="200001DF" w:csb1="20000000"/>
  </w:font>
  <w:font w:name="Segoe UI">
    <w:panose1 w:val="020B0502040204020203"/>
    <w:charset w:val="00"/>
    <w:family w:val="swiss"/>
    <w:pitch w:val="default"/>
    <w:sig w:usb0="E10022FF" w:usb1="C000E47F" w:usb2="00000029" w:usb3="00000000" w:csb0="200001DF" w:csb1="20000000"/>
  </w:font>
  <w:font w:name="Arial">
    <w:panose1 w:val="020B0604020202020204"/>
    <w:charset w:val="00"/>
    <w:family w:val="swiss"/>
    <w:pitch w:val="default"/>
    <w:sig w:usb0="E0000AFF" w:usb1="00007843" w:usb2="00000001" w:usb3="00000000" w:csb0="400001BF" w:csb1="DFF70000"/>
  </w:font>
  <w:font w:name="仿宋_GB2312">
    <w:altName w:val="仿宋"/>
    <w:panose1 w:val="02010609030101010101"/>
    <w:charset w:val="86"/>
    <w:family w:val="modern"/>
    <w:pitch w:val="default"/>
    <w:sig w:usb0="00000000" w:usb1="00000000" w:usb2="0000001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 w:name="Courier">
    <w:altName w:val="PMingLiU-ExtB"/>
    <w:panose1 w:val="02070409020205020404"/>
    <w:charset w:val="00"/>
    <w:family w:val="modern"/>
    <w:pitch w:val="default"/>
    <w:sig w:usb0="00000000" w:usb1="00000000" w:usb2="00000000" w:usb3="00000000" w:csb0="00000001" w:csb1="00000000"/>
  </w:font>
  <w:font w:name="新宋体">
    <w:panose1 w:val="02010609030101010101"/>
    <w:charset w:val="86"/>
    <w:family w:val="modern"/>
    <w:pitch w:val="default"/>
    <w:sig w:usb0="00000003" w:usb1="288F0000" w:usb2="00000006" w:usb3="00000000" w:csb0="00040001" w:csb1="00000000"/>
  </w:font>
  <w:font w:name="_x000B__x000C_">
    <w:altName w:val="Times New Roman"/>
    <w:panose1 w:val="00000000000000000000"/>
    <w:charset w:val="00"/>
    <w:family w:val="roman"/>
    <w:pitch w:val="default"/>
    <w:sig w:usb0="00000000" w:usb1="00000000" w:usb2="00000000" w:usb3="00000000" w:csb0="00040001" w:csb1="00000000"/>
  </w:font>
  <w:font w:name="华文行楷">
    <w:altName w:val="微软雅黑"/>
    <w:panose1 w:val="02010800040101010101"/>
    <w:charset w:val="86"/>
    <w:family w:val="auto"/>
    <w:pitch w:val="default"/>
    <w:sig w:usb0="00000000" w:usb1="00000000" w:usb2="00000010" w:usb3="00000000" w:csb0="00040000" w:csb1="00000000"/>
  </w:font>
  <w:font w:name="华文仿宋">
    <w:altName w:val="仿宋"/>
    <w:panose1 w:val="02010600040101010101"/>
    <w:charset w:val="86"/>
    <w:family w:val="auto"/>
    <w:pitch w:val="default"/>
    <w:sig w:usb0="00000000" w:usb1="00000000" w:usb2="00000010" w:usb3="00000000" w:csb0="000400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GBK_S">
    <w:altName w:val="宋体"/>
    <w:panose1 w:val="00000000000000000000"/>
    <w:charset w:val="86"/>
    <w:family w:val="auto"/>
    <w:pitch w:val="default"/>
    <w:sig w:usb0="00000000" w:usb1="00000000" w:usb2="00000000" w:usb3="00000000" w:csb0="00040000" w:csb1="00000000"/>
  </w:font>
  <w:font w:name="Symbol02">
    <w:altName w:val="宋体"/>
    <w:panose1 w:val="00000000000000000000"/>
    <w:charset w:val="86"/>
    <w:family w:val="auto"/>
    <w:pitch w:val="default"/>
    <w:sig w:usb0="00000000" w:usb1="00000000" w:usb2="00000000" w:usb3="00000000" w:csb0="00040000" w:csb1="00000000"/>
  </w:font>
  <w:font w:name="E-BZ">
    <w:altName w:val="Malgun Gothic"/>
    <w:panose1 w:val="00000000000000000000"/>
    <w:charset w:val="81"/>
    <w:family w:val="auto"/>
    <w:pitch w:val="default"/>
    <w:sig w:usb0="00000000" w:usb1="00000000" w:usb2="00000000" w:usb3="00000000" w:csb0="00080000"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2AF" w:usb1="01D77CFB" w:usb2="00000012" w:usb3="00000000" w:csb0="0008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27236A3"/>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auto"/>
      <w:ind w:firstLine="200" w:firstLineChars="200"/>
      <w:jc w:val="both"/>
    </w:pPr>
    <w:rPr>
      <w:kern w:val="2"/>
      <w:sz w:val="24"/>
      <w:szCs w:val="22"/>
      <w:lang w:val="en-US" w:eastAsia="zh-CN" w:bidi="ar-SA"/>
    </w:rPr>
  </w:style>
  <w:style w:type="paragraph" w:styleId="2">
    <w:name w:val="heading 2"/>
    <w:basedOn w:val="1"/>
    <w:next w:val="1"/>
    <w:link w:val="6"/>
    <w:unhideWhenUsed/>
    <w:qFormat/>
    <w:uiPriority w:val="0"/>
    <w:pPr>
      <w:keepNext/>
      <w:keepLines/>
      <w:spacing w:before="260" w:beforeLines="0" w:after="260" w:afterLines="0" w:line="415" w:lineRule="auto"/>
      <w:ind w:firstLine="0" w:firstLineChars="0"/>
      <w:jc w:val="left"/>
      <w:outlineLvl w:val="1"/>
    </w:pPr>
    <w:rPr>
      <w:rFonts w:ascii="Arial" w:hAnsi="Arial" w:eastAsia="黑体"/>
      <w:bCs/>
      <w:sz w:val="28"/>
      <w:szCs w:val="32"/>
    </w:rPr>
  </w:style>
  <w:style w:type="character" w:default="1" w:styleId="3">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character" w:styleId="4">
    <w:name w:val="Strong"/>
    <w:basedOn w:val="3"/>
    <w:qFormat/>
    <w:uiPriority w:val="0"/>
    <w:rPr>
      <w:b/>
    </w:rPr>
  </w:style>
  <w:style w:type="character" w:customStyle="1" w:styleId="6">
    <w:name w:val="标题 2 Char"/>
    <w:basedOn w:val="3"/>
    <w:link w:val="2"/>
    <w:qFormat/>
    <w:uiPriority w:val="0"/>
    <w:rPr>
      <w:rFonts w:ascii="Arial" w:hAnsi="Arial" w:eastAsia="黑体"/>
      <w:bCs/>
      <w:sz w:val="28"/>
      <w:szCs w:val="32"/>
    </w:rPr>
  </w:style>
  <w:style w:type="paragraph" w:customStyle="1" w:styleId="7">
    <w:name w:val="样式1"/>
    <w:basedOn w:val="1"/>
    <w:qFormat/>
    <w:uiPriority w:val="0"/>
    <w:pPr>
      <w:widowControl w:val="0"/>
      <w:ind w:firstLine="600"/>
    </w:pPr>
    <w:rPr>
      <w:rFonts w:ascii="黑体" w:hAnsi="黑体" w:eastAsia="黑体"/>
      <w:sz w:val="30"/>
      <w:szCs w:val="3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2016-05-05T05:32:23Z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