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val="en-US" w:eastAsia="zh-CN"/>
        </w:rPr>
        <w:t xml:space="preserve">   </w:t>
      </w:r>
      <w:r>
        <w:rPr>
          <w:rFonts w:eastAsia="黑体"/>
          <w:sz w:val="32"/>
          <w:szCs w:val="32"/>
        </w:rPr>
        <w:t>地佐辛</w:t>
      </w:r>
      <w:r>
        <w:rPr>
          <w:rFonts w:hint="eastAsia" w:eastAsia="黑体"/>
          <w:sz w:val="32"/>
          <w:szCs w:val="32"/>
        </w:rPr>
        <w:t>对</w:t>
      </w:r>
      <w:r>
        <w:rPr>
          <w:rFonts w:eastAsia="黑体"/>
          <w:sz w:val="32"/>
          <w:szCs w:val="32"/>
        </w:rPr>
        <w:t>髓核摘除患者血流动力学及皮质醇水平的影响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eastAsia="黑体"/>
          <w:sz w:val="32"/>
          <w:szCs w:val="32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申请人：孔君花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指导老师：岳修勤</w:t>
      </w:r>
    </w:p>
    <w:p>
      <w:pPr>
        <w:spacing w:line="360" w:lineRule="auto"/>
        <w:rPr>
          <w:rFonts w:hint="eastAsia" w:eastAsia="黑体"/>
          <w:sz w:val="32"/>
          <w:szCs w:val="32"/>
          <w:lang w:val="en-US" w:eastAsia="zh-CN"/>
        </w:rPr>
      </w:pPr>
      <w:r>
        <w:rPr>
          <w:rFonts w:hint="eastAsia" w:eastAsia="黑体"/>
          <w:sz w:val="32"/>
          <w:szCs w:val="32"/>
        </w:rPr>
        <w:t xml:space="preserve">         </w:t>
      </w:r>
      <w:r>
        <w:rPr>
          <w:rFonts w:hint="eastAsia" w:eastAsia="黑体"/>
          <w:sz w:val="32"/>
          <w:szCs w:val="32"/>
          <w:lang w:val="en-US" w:eastAsia="zh-CN"/>
        </w:rPr>
        <w:t xml:space="preserve">                 </w:t>
      </w:r>
    </w:p>
    <w:p>
      <w:pPr>
        <w:spacing w:line="360" w:lineRule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eastAsia="黑体"/>
          <w:sz w:val="32"/>
          <w:szCs w:val="32"/>
          <w:lang w:val="en-US" w:eastAsia="zh-CN"/>
        </w:rPr>
        <w:t xml:space="preserve">                     </w:t>
      </w:r>
      <w:bookmarkStart w:id="0" w:name="_Toc23443"/>
      <w:r>
        <w:rPr>
          <w:rFonts w:hint="eastAsia" w:ascii="黑体" w:hAnsi="黑体" w:eastAsia="黑体" w:cs="黑体"/>
          <w:sz w:val="24"/>
          <w:szCs w:val="24"/>
        </w:rPr>
        <w:t>摘 要</w:t>
      </w:r>
      <w:bookmarkEnd w:id="0"/>
    </w:p>
    <w:p>
      <w:pPr>
        <w:adjustRightInd w:val="0"/>
        <w:snapToGrid w:val="0"/>
        <w:spacing w:line="360" w:lineRule="auto"/>
        <w:jc w:val="left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  <w:lang w:val="en-US" w:eastAsia="zh-CN"/>
        </w:rPr>
        <w:t xml:space="preserve">    </w:t>
      </w:r>
      <w:r>
        <w:rPr>
          <w:rFonts w:eastAsia="黑体"/>
          <w:sz w:val="24"/>
          <w:szCs w:val="24"/>
        </w:rPr>
        <w:t xml:space="preserve">目的 </w:t>
      </w:r>
    </w:p>
    <w:p>
      <w:pPr>
        <w:adjustRightInd w:val="0"/>
        <w:snapToGrid w:val="0"/>
        <w:spacing w:line="360" w:lineRule="auto"/>
        <w:ind w:firstLine="600" w:firstLineChars="250"/>
        <w:jc w:val="left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探</w:t>
      </w:r>
      <w:r>
        <w:rPr>
          <w:rFonts w:hint="eastAsia" w:asciiTheme="minorEastAsia" w:hAnsiTheme="minorEastAsia" w:eastAsiaTheme="minorEastAsia" w:cstheme="minorEastAsia"/>
          <w:sz w:val="24"/>
        </w:rPr>
        <w:t>讨地佐辛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对</w:t>
      </w:r>
      <w:r>
        <w:rPr>
          <w:rFonts w:hint="eastAsia" w:asciiTheme="minorEastAsia" w:hAnsiTheme="minorEastAsia" w:eastAsiaTheme="minorEastAsia" w:cstheme="minorEastAsia"/>
          <w:sz w:val="24"/>
        </w:rPr>
        <w:t>局麻PELD（percutaneous endoscopic lumbardiscectomy）经皮椎间孔镜下髓核摘除老年患者围术期血流动力学及皮质醇的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影响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</w:p>
    <w:p>
      <w:pPr>
        <w:adjustRightInd w:val="0"/>
        <w:snapToGrid w:val="0"/>
        <w:spacing w:line="360" w:lineRule="auto"/>
        <w:jc w:val="left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  <w:lang w:val="en-US" w:eastAsia="zh-CN"/>
        </w:rPr>
        <w:t xml:space="preserve">   </w:t>
      </w:r>
      <w:r>
        <w:rPr>
          <w:rFonts w:eastAsia="黑体"/>
          <w:sz w:val="24"/>
          <w:szCs w:val="24"/>
        </w:rPr>
        <w:t>方法</w:t>
      </w:r>
      <w:r>
        <w:rPr>
          <w:rFonts w:eastAsia="黑体"/>
          <w:sz w:val="28"/>
          <w:szCs w:val="28"/>
        </w:rPr>
        <w:t xml:space="preserve"> 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</w:rPr>
        <w:t>60例腰椎间盘突出需行椎间孔镜下髓核摘除的老年患者，美国麻醉医师协会关于麻醉分级ASA(</w:t>
      </w:r>
      <w:r>
        <w:rPr>
          <w:rFonts w:hint="eastAsia" w:asciiTheme="minorEastAsia" w:hAnsiTheme="minorEastAsia" w:eastAsiaTheme="minorEastAsia" w:cstheme="minorEastAsia"/>
          <w:i w:val="0"/>
          <w:iCs/>
          <w:sz w:val="24"/>
        </w:rPr>
        <w:t>American Society of Anesthesiologists</w:t>
      </w:r>
      <w:r>
        <w:rPr>
          <w:rFonts w:hint="eastAsia" w:asciiTheme="minorEastAsia" w:hAnsiTheme="minorEastAsia" w:eastAsiaTheme="minorEastAsia" w:cstheme="minorEastAsia"/>
          <w:i/>
          <w:sz w:val="24"/>
        </w:rPr>
        <w:t>)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Ⅰ 或Ⅱ 级。经医院伦理委员会批准 ，签定手术、麻醉知情同意书 </w:t>
      </w:r>
      <w:r>
        <w:rPr>
          <w:rFonts w:hint="eastAsia" w:asciiTheme="minorEastAsia" w:hAnsiTheme="minorEastAsia" w:eastAsiaTheme="minorEastAsia" w:cstheme="minorEastAsia"/>
          <w:sz w:val="24"/>
          <w:szCs w:val="30"/>
        </w:rPr>
        <w:t>，</w:t>
      </w:r>
      <w:r>
        <w:rPr>
          <w:rFonts w:hint="eastAsia" w:asciiTheme="minorEastAsia" w:hAnsiTheme="minorEastAsia" w:eastAsiaTheme="minorEastAsia" w:cstheme="minorEastAsia"/>
          <w:sz w:val="24"/>
        </w:rPr>
        <w:t>随机分成3组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</w:rPr>
        <w:t>对照组N组，于术前静脉给予0.9%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氯化钠注射液</w:t>
      </w:r>
      <w:r>
        <w:rPr>
          <w:rFonts w:hint="eastAsia" w:asciiTheme="minorEastAsia" w:hAnsiTheme="minorEastAsia" w:eastAsiaTheme="minorEastAsia" w:cstheme="minorEastAsia"/>
          <w:sz w:val="24"/>
        </w:rPr>
        <w:t>10ml，实验组D组，于术前静脉给予地佐辛0.2mg/kg,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用</w:t>
      </w:r>
      <w:r>
        <w:rPr>
          <w:rFonts w:hint="eastAsia" w:asciiTheme="minorEastAsia" w:hAnsiTheme="minorEastAsia" w:eastAsiaTheme="minorEastAsia" w:cstheme="minorEastAsia"/>
          <w:sz w:val="24"/>
        </w:rPr>
        <w:t>0.9%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氯化钠注射液稀释至</w:t>
      </w:r>
      <w:r>
        <w:rPr>
          <w:rFonts w:hint="eastAsia" w:asciiTheme="minorEastAsia" w:hAnsiTheme="minorEastAsia" w:eastAsiaTheme="minorEastAsia" w:cstheme="minorEastAsia"/>
          <w:sz w:val="24"/>
        </w:rPr>
        <w:t>10ml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</w:rPr>
        <w:t>对照组S组，术前静脉给予舒芬太尼0.15µg/kg，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用</w:t>
      </w:r>
      <w:r>
        <w:rPr>
          <w:rFonts w:hint="eastAsia" w:asciiTheme="minorEastAsia" w:hAnsiTheme="minorEastAsia" w:eastAsiaTheme="minorEastAsia" w:cstheme="minorEastAsia"/>
          <w:sz w:val="24"/>
        </w:rPr>
        <w:t>0.9%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氯化钠注射液稀释至</w:t>
      </w:r>
      <w:r>
        <w:rPr>
          <w:rFonts w:hint="eastAsia" w:asciiTheme="minorEastAsia" w:hAnsiTheme="minorEastAsia" w:eastAsiaTheme="minorEastAsia" w:cstheme="minorEastAsia"/>
          <w:sz w:val="24"/>
        </w:rPr>
        <w:t>10ml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三组患者均在C臂定位L4-5椎间隙后，在左侧腰后偏正中12cm处以1%利多卡因10ml行局部浸润麻醉，分别于手术开始前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</w:rPr>
        <w:t>T0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</w:rPr>
        <w:t>、术中观察导丝到达纤维环时 （T1）、纤维环开窗时（T2 ）、髓核摘除时（T3）、术后1小时(T4),分别抽取三组患者的静脉血测定各时段皮质醇（COR）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数据经过收集整理后，观察其三组结果，并比较三组患者各时段的疼痛视觉模拟评分VAS（</w:t>
      </w:r>
      <w:r>
        <w:rPr>
          <w:rFonts w:hint="eastAsia" w:asciiTheme="minorEastAsia" w:hAnsiTheme="minorEastAsia" w:eastAsiaTheme="minorEastAsia" w:cstheme="minorEastAsia"/>
          <w:i w:val="0"/>
          <w:iCs/>
          <w:color w:val="000000"/>
          <w:sz w:val="24"/>
        </w:rPr>
        <w:t>visual analogue scale</w:t>
      </w:r>
      <w:r>
        <w:rPr>
          <w:rFonts w:hint="eastAsia" w:asciiTheme="minorEastAsia" w:hAnsiTheme="minorEastAsia" w:eastAsiaTheme="minorEastAsia" w:cstheme="minorEastAsia"/>
          <w:i/>
          <w:color w:val="000000"/>
          <w:sz w:val="24"/>
        </w:rPr>
        <w:t>）</w:t>
      </w:r>
      <w:r>
        <w:rPr>
          <w:rFonts w:hint="eastAsia" w:asciiTheme="minorEastAsia" w:hAnsiTheme="minorEastAsia" w:eastAsiaTheme="minorEastAsia" w:cstheme="minorEastAsia"/>
          <w:sz w:val="24"/>
        </w:rPr>
        <w:t>、平均动脉血压MAP</w:t>
      </w:r>
      <w:r>
        <w:rPr>
          <w:rFonts w:hint="eastAsia" w:asciiTheme="minorEastAsia" w:hAnsiTheme="minorEastAsia" w:eastAsiaTheme="minorEastAsia" w:cstheme="minorEastAsia"/>
          <w:i w:val="0"/>
          <w:iCs w:val="0"/>
          <w:sz w:val="24"/>
        </w:rPr>
        <w:t>(mean arterial  pressure)</w:t>
      </w:r>
      <w:r>
        <w:rPr>
          <w:rFonts w:hint="eastAsia" w:asciiTheme="minorEastAsia" w:hAnsiTheme="minorEastAsia" w:eastAsiaTheme="minorEastAsia" w:cstheme="minorEastAsia"/>
          <w:sz w:val="24"/>
        </w:rPr>
        <w:t>、心率HR(heart rate）、脉氧饱和度SpO2(oxygen saturation)及</w:t>
      </w:r>
      <w:r>
        <w:rPr>
          <w:rFonts w:hint="eastAsia" w:asciiTheme="minorEastAsia" w:hAnsiTheme="minorEastAsia" w:eastAsiaTheme="minorEastAsia" w:cstheme="minorEastAsia"/>
          <w:sz w:val="24"/>
        </w:rPr>
        <w:t>血清中皮质醇COR(cortisol)</w:t>
      </w:r>
      <w:r>
        <w:rPr>
          <w:rFonts w:hint="eastAsia" w:asciiTheme="minorEastAsia" w:hAnsiTheme="minorEastAsia" w:eastAsiaTheme="minorEastAsia" w:cstheme="minorEastAsia"/>
          <w:sz w:val="24"/>
        </w:rPr>
        <w:t>含量的变化。</w:t>
      </w:r>
    </w:p>
    <w:p>
      <w:pPr>
        <w:numPr>
          <w:numId w:val="0"/>
        </w:numPr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4"/>
        </w:rPr>
        <w:t>结果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</w:t>
      </w:r>
    </w:p>
    <w:p>
      <w:pPr>
        <w:numPr>
          <w:numId w:val="0"/>
        </w:numPr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  <w:lang w:val="en-US" w:eastAsia="zh-CN"/>
        </w:rPr>
        <w:t xml:space="preserve">  1</w:t>
      </w:r>
      <w:r>
        <w:rPr>
          <w:rFonts w:hint="eastAsia" w:asciiTheme="minorEastAsia" w:hAnsiTheme="minorEastAsia" w:eastAsiaTheme="minorEastAsia" w:cstheme="minorEastAsia"/>
          <w:sz w:val="24"/>
        </w:rPr>
        <w:t>.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</w:rPr>
        <w:t>三组患者的一般资料(体重、年龄、性别、手术时间）做对照,无统计学意义（P&gt;0.05）。</w:t>
      </w:r>
    </w:p>
    <w:p>
      <w:pPr>
        <w:numPr>
          <w:numId w:val="0"/>
        </w:numPr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</w:rPr>
        <w:t>2.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</w:rPr>
        <w:t>D组与N组的患者 ，相比较，T1 、 T2 、 T3 、 T4时点的平均动脉压MAP、心率 HR、VAS评分比较有差异， 有统计学意义（P&lt;0.05）。</w:t>
      </w:r>
    </w:p>
    <w:p>
      <w:pPr>
        <w:numPr>
          <w:numId w:val="0"/>
        </w:numPr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3.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T1、 T2 、T3 、T4时点的皮质醇水平相比较显著低于对照组N组（P &lt;0.05)。T3、 T4时点时，D试验组患者的血清皮质醇含量显著低于对照组S组（P＜0.05）。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 </w:t>
      </w:r>
    </w:p>
    <w:p>
      <w:pPr>
        <w:numPr>
          <w:numId w:val="0"/>
        </w:numPr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4.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 xml:space="preserve"> </w:t>
      </w:r>
      <w:bookmarkStart w:id="1" w:name="_GoBack"/>
      <w:bookmarkEnd w:id="1"/>
      <w:r>
        <w:rPr>
          <w:rFonts w:hint="eastAsia" w:asciiTheme="minorEastAsia" w:hAnsiTheme="minorEastAsia" w:eastAsiaTheme="minorEastAsia" w:cstheme="minorEastAsia"/>
          <w:sz w:val="24"/>
        </w:rPr>
        <w:t>试验组的不良反应发生率为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</w:rPr>
        <w:t>％显著低于对照组N组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21</w:t>
      </w:r>
      <w:r>
        <w:rPr>
          <w:rFonts w:hint="eastAsia" w:asciiTheme="minorEastAsia" w:hAnsiTheme="minorEastAsia" w:eastAsiaTheme="minorEastAsia" w:cstheme="minorEastAsia"/>
          <w:sz w:val="24"/>
        </w:rPr>
        <w:t>％，低于对照组S组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15</w:t>
      </w:r>
      <w:r>
        <w:rPr>
          <w:rFonts w:hint="eastAsia" w:asciiTheme="minorEastAsia" w:hAnsiTheme="minorEastAsia" w:eastAsiaTheme="minorEastAsia" w:cstheme="minorEastAsia"/>
          <w:sz w:val="24"/>
        </w:rPr>
        <w:t>%。</w:t>
      </w:r>
    </w:p>
    <w:p>
      <w:pPr>
        <w:numPr>
          <w:numId w:val="0"/>
        </w:numPr>
        <w:adjustRightInd w:val="0"/>
        <w:snapToGrid w:val="0"/>
        <w:spacing w:line="360" w:lineRule="auto"/>
        <w:jc w:val="left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 xml:space="preserve">结论 </w:t>
      </w:r>
    </w:p>
    <w:p>
      <w:pPr>
        <w:numPr>
          <w:numId w:val="0"/>
        </w:numPr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在</w:t>
      </w:r>
      <w:r>
        <w:rPr>
          <w:rFonts w:hint="eastAsia" w:asciiTheme="minorEastAsia" w:hAnsiTheme="minorEastAsia" w:eastAsiaTheme="minorEastAsia" w:cstheme="minorEastAsia"/>
          <w:sz w:val="24"/>
        </w:rPr>
        <w:t>局麻PELD（</w:t>
      </w:r>
      <w:r>
        <w:rPr>
          <w:rFonts w:hint="default" w:asciiTheme="minorEastAsia" w:hAnsiTheme="minorEastAsia" w:eastAsiaTheme="minorEastAsia" w:cstheme="minorEastAsia"/>
          <w:sz w:val="24"/>
        </w:rPr>
        <w:t>percutaneous endoscopic lumbardiscectomy</w:t>
      </w:r>
      <w:r>
        <w:rPr>
          <w:rFonts w:hint="eastAsia" w:asciiTheme="minorEastAsia" w:hAnsiTheme="minorEastAsia" w:eastAsiaTheme="minorEastAsia" w:cstheme="minorEastAsia"/>
          <w:sz w:val="24"/>
        </w:rPr>
        <w:t>）经皮椎间孔镜下髓核摘除老年患者围术期中，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地佐辛使</w:t>
      </w:r>
      <w:r>
        <w:rPr>
          <w:rFonts w:hint="eastAsia" w:asciiTheme="minorEastAsia" w:hAnsiTheme="minorEastAsia" w:eastAsiaTheme="minorEastAsia" w:cstheme="minorEastAsia"/>
          <w:sz w:val="24"/>
        </w:rPr>
        <w:t>患者血压稳定，生命征平稳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。能</w:t>
      </w:r>
      <w:r>
        <w:rPr>
          <w:rFonts w:hint="eastAsia" w:asciiTheme="minorEastAsia" w:hAnsiTheme="minorEastAsia" w:eastAsiaTheme="minorEastAsia" w:cstheme="minorEastAsia"/>
          <w:sz w:val="24"/>
        </w:rPr>
        <w:t>有效的降低了患者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围术期</w:t>
      </w:r>
      <w:r>
        <w:rPr>
          <w:rFonts w:hint="eastAsia" w:asciiTheme="minorEastAsia" w:hAnsiTheme="minorEastAsia" w:eastAsiaTheme="minorEastAsia" w:cstheme="minorEastAsia"/>
          <w:sz w:val="24"/>
        </w:rPr>
        <w:t>应激激素皮质醇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sz w:val="24"/>
        </w:rPr>
        <w:t>水平，围术期镇痛不足发生率降低，降低了患者不良反应的发生率。</w:t>
      </w:r>
    </w:p>
    <w:p>
      <w:pPr>
        <w:numPr>
          <w:numId w:val="0"/>
        </w:numPr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="黑体" w:hAnsi="黑体" w:eastAsia="黑体" w:cs="黑体"/>
          <w:sz w:val="24"/>
        </w:rPr>
        <w:t xml:space="preserve">关键词 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地佐辛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</w:rPr>
        <w:t>老年患者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</w:rPr>
        <w:t>围术期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</w:rPr>
        <w:t>血流动力学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，皮质醇</w:t>
      </w:r>
    </w:p>
    <w:p>
      <w:pPr>
        <w:numPr>
          <w:numId w:val="0"/>
        </w:numPr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Segoe UI Symbol">
    <w:panose1 w:val="020B0502040204020203"/>
    <w:charset w:val="00"/>
    <w:family w:val="auto"/>
    <w:pitch w:val="default"/>
    <w:sig w:usb0="800001E3" w:usb1="1200FFEF" w:usb2="0064C000" w:usb3="04000000" w:csb0="00000001" w:csb1="4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Courier">
    <w:altName w:val="PMingLiU"/>
    <w:panose1 w:val="02070409020205020404"/>
    <w:charset w:val="00"/>
    <w:family w:val="swiss"/>
    <w:pitch w:val="default"/>
    <w:sig w:usb0="00000000" w:usb1="00000000" w:usb2="00000000" w:usb3="00000000" w:csb0="00000001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MT Extra">
    <w:panose1 w:val="05050102010205020202"/>
    <w:charset w:val="02"/>
    <w:family w:val="auto"/>
    <w:pitch w:val="default"/>
    <w:sig w:usb0="80000000" w:usb1="00000000" w:usb2="00000000" w:usb3="00000000" w:csb0="00000000" w:csb1="0000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Courier">
    <w:altName w:val="PMingLiU"/>
    <w:panose1 w:val="02070409020205020404"/>
    <w:charset w:val="00"/>
    <w:family w:val="decorative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Courier">
    <w:altName w:val="PMingLiU"/>
    <w:panose1 w:val="020704090202050204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">
    <w:altName w:val="PMingLiU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eiryo">
    <w:panose1 w:val="020B0604030504040204"/>
    <w:charset w:val="80"/>
    <w:family w:val="auto"/>
    <w:pitch w:val="default"/>
    <w:sig w:usb0="E00002FF" w:usb1="6AC7FFFF" w:usb2="08000012" w:usb3="00000000" w:csb0="6002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 Light">
    <w:panose1 w:val="020B0502040204020203"/>
    <w:charset w:val="86"/>
    <w:family w:val="auto"/>
    <w:pitch w:val="default"/>
    <w:sig w:usb0="A00002BF" w:usb1="28CF0010" w:usb2="00000016" w:usb3="00000000" w:csb0="0004000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62433300">
    <w:nsid w:val="572AF614"/>
    <w:multiLevelType w:val="singleLevel"/>
    <w:tmpl w:val="572AF614"/>
    <w:lvl w:ilvl="0" w:tentative="1">
      <w:start w:val="2"/>
      <w:numFmt w:val="decimal"/>
      <w:suff w:val="nothing"/>
      <w:lvlText w:val="%1."/>
      <w:lvlJc w:val="left"/>
    </w:lvl>
  </w:abstractNum>
  <w:num w:numId="1">
    <w:abstractNumId w:val="146243330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A53769"/>
    <w:rsid w:val="679856AA"/>
    <w:rsid w:val="74D63E9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1"/>
    <w:basedOn w:val="2"/>
    <w:next w:val="1"/>
    <w:qFormat/>
    <w:uiPriority w:val="0"/>
    <w:pPr>
      <w:spacing w:before="0" w:after="0" w:line="360" w:lineRule="auto"/>
      <w:ind w:firstLine="350" w:firstLineChars="350"/>
    </w:pPr>
    <w:rPr>
      <w:rFonts w:ascii="宋体" w:hAnsi="宋体" w:eastAsia="黑体" w:cs="宋体"/>
      <w:b w:val="0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2016-05-05T11:29:39Z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