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720" w:firstLineChars="200"/>
        <w:jc w:val="center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新乡医学院十佳基层党组织之</w:t>
      </w:r>
      <w:r>
        <w:rPr>
          <w:rFonts w:hint="eastAsia" w:ascii="黑体" w:hAnsi="黑体" w:eastAsia="黑体"/>
          <w:b/>
          <w:bCs/>
          <w:sz w:val="36"/>
          <w:szCs w:val="36"/>
        </w:rPr>
        <w:t>三全学院党委德馨书院党总支学生第四党支部</w:t>
      </w:r>
    </w:p>
    <w:p>
      <w:pPr>
        <w:snapToGrid w:val="0"/>
        <w:spacing w:line="360" w:lineRule="auto"/>
        <w:ind w:firstLine="560" w:firstLineChars="200"/>
        <w:jc w:val="left"/>
        <w:textAlignment w:val="center"/>
        <w:rPr>
          <w:rFonts w:asciiTheme="minorEastAsia" w:hAnsiTheme="minorEastAsia" w:cstheme="minorEastAsia"/>
          <w:sz w:val="28"/>
          <w:szCs w:val="28"/>
        </w:rPr>
      </w:pPr>
      <w:bookmarkStart w:id="1" w:name="_GoBack"/>
      <w:bookmarkEnd w:id="1"/>
    </w:p>
    <w:p>
      <w:pPr>
        <w:snapToGrid w:val="0"/>
        <w:spacing w:line="360" w:lineRule="auto"/>
        <w:ind w:firstLine="560" w:firstLineChars="200"/>
        <w:jc w:val="left"/>
        <w:textAlignment w:val="center"/>
        <w:rPr>
          <w:rFonts w:hint="eastAsia"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三全学院德馨书院学生第四党支部，本着“建设、服务、发展、创新”的工作理念，坚持以“先锋引领，立足心育，特色推进”为目标，推进党支部、党总支、校党委的党务工作建设与特色发展。</w:t>
      </w:r>
    </w:p>
    <w:p>
      <w:pPr>
        <w:snapToGrid w:val="0"/>
        <w:spacing w:line="360" w:lineRule="auto"/>
        <w:ind w:firstLine="640" w:firstLineChars="200"/>
        <w:jc w:val="left"/>
        <w:textAlignment w:val="center"/>
        <w:rPr>
          <w:rFonts w:hint="eastAsia" w:ascii="仿宋_GB2312" w:eastAsia="仿宋_GB2312" w:hAnsiTheme="minorEastAsia" w:cstheme="minorEastAsia"/>
          <w:b/>
          <w:bCs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</w:rPr>
        <w:t>一</w:t>
      </w: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  <w:lang w:eastAsia="zh-CN"/>
        </w:rPr>
        <w:t>、</w:t>
      </w: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</w:rPr>
        <w:t>充分发挥战斗堡垒作用，努力建设学习型党支部。</w:t>
      </w:r>
    </w:p>
    <w:p>
      <w:pPr>
        <w:snapToGrid w:val="0"/>
        <w:spacing w:line="360" w:lineRule="auto"/>
        <w:ind w:firstLine="640" w:firstLineChars="200"/>
        <w:jc w:val="left"/>
        <w:textAlignment w:val="center"/>
        <w:rPr>
          <w:rFonts w:hint="eastAsia"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创建“老党员带新党员、正式带预备、积极分子参与学习”的培养管理形式。</w:t>
      </w:r>
    </w:p>
    <w:p>
      <w:pPr>
        <w:snapToGrid w:val="0"/>
        <w:spacing w:line="360" w:lineRule="auto"/>
        <w:ind w:firstLine="640" w:firstLineChars="200"/>
        <w:jc w:val="left"/>
        <w:textAlignment w:val="center"/>
        <w:rPr>
          <w:rFonts w:hint="eastAsia" w:ascii="仿宋_GB2312" w:eastAsia="仿宋_GB2312" w:hAnsiTheme="minorEastAsia" w:cstheme="minorEastAsia"/>
          <w:b/>
          <w:bCs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</w:rPr>
        <w:t>二</w:t>
      </w: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  <w:lang w:eastAsia="zh-CN"/>
        </w:rPr>
        <w:t>、</w:t>
      </w: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</w:rPr>
        <w:t>扎实做好思想政治工作</w:t>
      </w: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  <w:lang w:eastAsia="zh-CN"/>
        </w:rPr>
        <w:t>，</w:t>
      </w: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  <w:lang w:val="en-US" w:eastAsia="zh-CN"/>
        </w:rPr>
        <w:t>努力提高党员思政教育时效性</w:t>
      </w: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</w:rPr>
        <w:t>。</w:t>
      </w:r>
    </w:p>
    <w:p>
      <w:pPr>
        <w:snapToGrid w:val="0"/>
        <w:spacing w:line="360" w:lineRule="auto"/>
        <w:ind w:firstLine="640" w:firstLineChars="200"/>
        <w:jc w:val="left"/>
        <w:textAlignment w:val="center"/>
        <w:rPr>
          <w:rFonts w:hint="eastAsia"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 xml:space="preserve">在学校首个开展“两学一做”党员特色教育活动，以创新形式将党心教育和学生德育相汇相融，提高了思想政治教育实效性。    </w:t>
      </w:r>
    </w:p>
    <w:p>
      <w:pPr>
        <w:snapToGrid w:val="0"/>
        <w:spacing w:line="360" w:lineRule="auto"/>
        <w:ind w:firstLine="640" w:firstLineChars="200"/>
        <w:jc w:val="left"/>
        <w:textAlignment w:val="center"/>
        <w:rPr>
          <w:rFonts w:hint="eastAsia" w:ascii="仿宋_GB2312" w:eastAsia="仿宋_GB2312" w:hAnsiTheme="minorEastAsia" w:cstheme="minorEastAsia"/>
          <w:b/>
          <w:bCs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</w:rPr>
        <w:t>三</w:t>
      </w: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  <w:lang w:eastAsia="zh-CN"/>
        </w:rPr>
        <w:t>、</w:t>
      </w: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</w:rPr>
        <w:t>党员教育管理常态化</w:t>
      </w: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  <w:lang w:eastAsia="zh-CN"/>
        </w:rPr>
        <w:t>，</w:t>
      </w: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  <w:lang w:val="en-US" w:eastAsia="zh-CN"/>
        </w:rPr>
        <w:t>特色教育活动深入人心</w:t>
      </w: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</w:rPr>
        <w:t>。</w:t>
      </w:r>
    </w:p>
    <w:p>
      <w:pPr>
        <w:snapToGrid w:val="0"/>
        <w:spacing w:line="360" w:lineRule="auto"/>
        <w:ind w:firstLine="640" w:firstLineChars="200"/>
        <w:jc w:val="left"/>
        <w:textAlignment w:val="center"/>
        <w:rPr>
          <w:rFonts w:hint="eastAsia"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及时更新党员信息，严格审查新生党员资格，落实毕业生党组织关系转接，规范党员档案管理，一人一卷，专人负责，无缺漏无失误。积极开展特色党员教育活动：“漫话两会，共话馨声”、</w:t>
      </w:r>
      <w:bookmarkStart w:id="0" w:name="OLE_LINK3"/>
      <w:r>
        <w:rPr>
          <w:rFonts w:hint="eastAsia" w:ascii="仿宋_GB2312" w:eastAsia="仿宋_GB2312" w:hAnsiTheme="minorEastAsia" w:cstheme="minorEastAsia"/>
          <w:sz w:val="32"/>
          <w:szCs w:val="32"/>
        </w:rPr>
        <w:t>十八届五中全会</w:t>
      </w:r>
      <w:bookmarkEnd w:id="0"/>
      <w:r>
        <w:rPr>
          <w:rFonts w:hint="eastAsia" w:ascii="仿宋_GB2312" w:eastAsia="仿宋_GB2312" w:hAnsiTheme="minorEastAsia" w:cstheme="minorEastAsia"/>
          <w:sz w:val="32"/>
          <w:szCs w:val="32"/>
        </w:rPr>
        <w:t>专题宣传、“童心系党，共同成长”、“两学一做”之“党照吾馨——笔尖绘党情”、纪念建党95周年“重现经典 牢记历史”等，活动受到学院网站及河南教育网等媒体的广泛宣传。</w:t>
      </w:r>
    </w:p>
    <w:p>
      <w:pPr>
        <w:snapToGrid w:val="0"/>
        <w:spacing w:line="360" w:lineRule="auto"/>
        <w:ind w:firstLine="640" w:firstLineChars="200"/>
        <w:jc w:val="left"/>
        <w:textAlignment w:val="center"/>
        <w:rPr>
          <w:rFonts w:hint="eastAsia" w:ascii="仿宋_GB2312" w:eastAsia="仿宋_GB2312" w:hAnsiTheme="minorEastAsia" w:cstheme="minorEastAsia"/>
          <w:b/>
          <w:bCs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</w:rPr>
        <w:t>四</w:t>
      </w: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  <w:lang w:eastAsia="zh-CN"/>
        </w:rPr>
        <w:t>、</w:t>
      </w: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</w:rPr>
        <w:t>严格做好组织发展工作，规范党员发展</w:t>
      </w: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  <w:lang w:eastAsia="zh-CN"/>
        </w:rPr>
        <w:t>。</w:t>
      </w:r>
    </w:p>
    <w:p>
      <w:pPr>
        <w:snapToGrid w:val="0"/>
        <w:spacing w:line="360" w:lineRule="auto"/>
        <w:ind w:firstLine="640" w:firstLineChars="200"/>
        <w:jc w:val="left"/>
        <w:textAlignment w:val="center"/>
        <w:rPr>
          <w:rFonts w:hint="eastAsia"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严把入党审查关，公开公正。本学年未出现任何违反发展程序或被举报现象。</w:t>
      </w:r>
    </w:p>
    <w:p>
      <w:pPr>
        <w:ind w:firstLine="640" w:firstLineChars="200"/>
        <w:jc w:val="left"/>
        <w:rPr>
          <w:rFonts w:hint="eastAsia" w:ascii="仿宋_GB2312" w:eastAsia="仿宋_GB2312" w:hAnsiTheme="minorEastAsia" w:cstheme="minorEastAsia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EC31469"/>
    <w:rsid w:val="00073ADB"/>
    <w:rsid w:val="00EB387D"/>
    <w:rsid w:val="00FF4408"/>
    <w:rsid w:val="13897477"/>
    <w:rsid w:val="1EC31469"/>
    <w:rsid w:val="20AD3184"/>
    <w:rsid w:val="35957CDC"/>
    <w:rsid w:val="3C265A92"/>
    <w:rsid w:val="56411F98"/>
    <w:rsid w:val="6A3C3B27"/>
    <w:rsid w:val="7B9B54D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73</Words>
  <Characters>418</Characters>
  <Lines>3</Lines>
  <Paragraphs>1</Paragraphs>
  <ScaleCrop>false</ScaleCrop>
  <LinksUpToDate>false</LinksUpToDate>
  <CharactersWithSpaces>490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2016-09-21T01:56:00Z</dcterms:created>
  <dc:creator>Administrator</dc:creator>
  <cp:lastModifiedBy>lenovo</cp:lastModifiedBy>
  <dcterms:modified xsi:type="dcterms:W3CDTF">2016-10-21T01:26:33Z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